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75" w:type="pct"/>
        <w:tblLayout w:type="fixed"/>
        <w:tblCellMar>
          <w:left w:w="70" w:type="dxa"/>
          <w:right w:w="70" w:type="dxa"/>
        </w:tblCellMar>
        <w:tblLook w:val="04A0" w:firstRow="1" w:lastRow="0" w:firstColumn="1" w:lastColumn="0" w:noHBand="0" w:noVBand="1"/>
      </w:tblPr>
      <w:tblGrid>
        <w:gridCol w:w="2362"/>
        <w:gridCol w:w="153"/>
        <w:gridCol w:w="442"/>
        <w:gridCol w:w="1763"/>
        <w:gridCol w:w="2604"/>
        <w:gridCol w:w="307"/>
        <w:gridCol w:w="2142"/>
        <w:gridCol w:w="10"/>
      </w:tblGrid>
      <w:tr w:rsidR="00914D81" w:rsidRPr="00B50AD7" w14:paraId="13F7146A" w14:textId="77777777" w:rsidTr="00914D81">
        <w:trPr>
          <w:trHeight w:val="1583"/>
        </w:trPr>
        <w:tc>
          <w:tcPr>
            <w:tcW w:w="5000" w:type="pct"/>
            <w:gridSpan w:val="8"/>
            <w:tcBorders>
              <w:top w:val="nil"/>
              <w:left w:val="nil"/>
            </w:tcBorders>
            <w:shd w:val="clear" w:color="000000" w:fill="1F497D"/>
            <w:vAlign w:val="center"/>
            <w:hideMark/>
          </w:tcPr>
          <w:p w14:paraId="1A1B0833" w14:textId="77777777" w:rsidR="00914D81" w:rsidRDefault="00914D81"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7E96C878" w14:textId="49D33F4F" w:rsidR="00914D81" w:rsidRDefault="00914D81" w:rsidP="00D14EAF">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AFFIDAMENTI DI FORNITURE E SERVIZI MEDIANTE PROCEDURA NEGOZIATA</w:t>
            </w:r>
            <w:r w:rsidR="00B01A7C">
              <w:rPr>
                <w:rFonts w:ascii="Garamond" w:eastAsia="Times New Roman" w:hAnsi="Garamond" w:cstheme="minorHAnsi"/>
                <w:b/>
                <w:bCs/>
                <w:color w:val="FFFFFF"/>
                <w:lang w:eastAsia="it-IT"/>
              </w:rPr>
              <w:t xml:space="preserve"> SOTTOSOGLIA</w:t>
            </w:r>
          </w:p>
          <w:p w14:paraId="66CCA80E" w14:textId="4296B21B" w:rsidR="00914D81" w:rsidRPr="00B50AD7" w:rsidRDefault="00914D81" w:rsidP="00D14EAF">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ex art 50, comma 1, lett. e) del D. Lgs. n. 36/2023 e s.m.i.</w:t>
            </w:r>
          </w:p>
        </w:tc>
      </w:tr>
      <w:tr w:rsidR="00786FD7" w:rsidRPr="00B50AD7" w14:paraId="1F6E95EE" w14:textId="77777777" w:rsidTr="006D1735">
        <w:trPr>
          <w:trHeight w:val="273"/>
        </w:trPr>
        <w:tc>
          <w:tcPr>
            <w:tcW w:w="1511" w:type="pct"/>
            <w:gridSpan w:val="3"/>
            <w:tcBorders>
              <w:top w:val="nil"/>
              <w:left w:val="nil"/>
              <w:bottom w:val="nil"/>
              <w:right w:val="nil"/>
            </w:tcBorders>
            <w:shd w:val="clear" w:color="000000" w:fill="FFFFFF"/>
            <w:noWrap/>
            <w:vAlign w:val="bottom"/>
            <w:hideMark/>
          </w:tcPr>
          <w:p w14:paraId="4721A057" w14:textId="77777777" w:rsidR="00786FD7" w:rsidRPr="00B50AD7" w:rsidRDefault="00786FD7"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1" w:type="pct"/>
            <w:tcBorders>
              <w:top w:val="nil"/>
              <w:left w:val="nil"/>
              <w:bottom w:val="nil"/>
              <w:right w:val="nil"/>
            </w:tcBorders>
            <w:shd w:val="clear" w:color="000000" w:fill="FFFFFF"/>
            <w:noWrap/>
            <w:vAlign w:val="bottom"/>
            <w:hideMark/>
          </w:tcPr>
          <w:p w14:paraId="70111487" w14:textId="77777777" w:rsidR="00786FD7" w:rsidRPr="00B50AD7" w:rsidRDefault="00786FD7"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31" w:type="pct"/>
            <w:tcBorders>
              <w:top w:val="nil"/>
              <w:left w:val="nil"/>
              <w:bottom w:val="nil"/>
              <w:right w:val="nil"/>
            </w:tcBorders>
            <w:shd w:val="clear" w:color="000000" w:fill="FFFFFF"/>
            <w:noWrap/>
            <w:vAlign w:val="bottom"/>
            <w:hideMark/>
          </w:tcPr>
          <w:p w14:paraId="5A4D6099" w14:textId="77777777" w:rsidR="00786FD7" w:rsidRPr="00B50AD7" w:rsidRDefault="00786FD7"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57" w:type="pct"/>
            <w:tcBorders>
              <w:top w:val="nil"/>
              <w:left w:val="nil"/>
              <w:bottom w:val="nil"/>
              <w:right w:val="nil"/>
            </w:tcBorders>
            <w:shd w:val="clear" w:color="000000" w:fill="FFFFFF"/>
            <w:noWrap/>
            <w:vAlign w:val="bottom"/>
            <w:hideMark/>
          </w:tcPr>
          <w:p w14:paraId="657FBA9A" w14:textId="77777777" w:rsidR="00786FD7" w:rsidRPr="00B50AD7" w:rsidRDefault="00786FD7"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00" w:type="pct"/>
            <w:gridSpan w:val="2"/>
            <w:tcBorders>
              <w:top w:val="nil"/>
              <w:left w:val="nil"/>
              <w:bottom w:val="nil"/>
              <w:right w:val="nil"/>
            </w:tcBorders>
            <w:shd w:val="clear" w:color="000000" w:fill="FFFFFF"/>
            <w:noWrap/>
            <w:vAlign w:val="bottom"/>
            <w:hideMark/>
          </w:tcPr>
          <w:p w14:paraId="70268ACC" w14:textId="77777777" w:rsidR="00786FD7" w:rsidRPr="00B50AD7" w:rsidRDefault="00786FD7" w:rsidP="00177AE1">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786FD7" w:rsidRPr="00B50AD7" w14:paraId="32B99285" w14:textId="77777777" w:rsidTr="00914D81">
        <w:trPr>
          <w:trHeight w:val="535"/>
        </w:trPr>
        <w:tc>
          <w:tcPr>
            <w:tcW w:w="5000" w:type="pct"/>
            <w:gridSpan w:val="8"/>
            <w:tcBorders>
              <w:top w:val="single" w:sz="2" w:space="0" w:color="auto"/>
              <w:left w:val="single" w:sz="2" w:space="0" w:color="auto"/>
              <w:bottom w:val="single" w:sz="2" w:space="0" w:color="auto"/>
              <w:right w:val="single" w:sz="2" w:space="0" w:color="auto"/>
            </w:tcBorders>
            <w:shd w:val="clear" w:color="000000" w:fill="1F497D"/>
            <w:vAlign w:val="center"/>
            <w:hideMark/>
          </w:tcPr>
          <w:p w14:paraId="2A6100F3" w14:textId="77777777" w:rsidR="00786FD7" w:rsidRPr="00B50AD7" w:rsidRDefault="00786FD7" w:rsidP="00177AE1">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Anagrafica Amministrazione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di interventi</w:t>
            </w:r>
          </w:p>
        </w:tc>
      </w:tr>
      <w:tr w:rsidR="00786FD7" w:rsidRPr="00B50AD7" w14:paraId="28707E67" w14:textId="77777777" w:rsidTr="00914D81">
        <w:trPr>
          <w:trHeight w:val="526"/>
        </w:trPr>
        <w:tc>
          <w:tcPr>
            <w:tcW w:w="1207" w:type="pct"/>
            <w:tcBorders>
              <w:top w:val="single" w:sz="4" w:space="0" w:color="auto"/>
              <w:left w:val="single" w:sz="4" w:space="0" w:color="auto"/>
              <w:bottom w:val="single" w:sz="4" w:space="0" w:color="auto"/>
              <w:right w:val="single" w:sz="2" w:space="0" w:color="auto"/>
            </w:tcBorders>
            <w:shd w:val="clear" w:color="000000" w:fill="1F497D"/>
            <w:vAlign w:val="center"/>
            <w:hideMark/>
          </w:tcPr>
          <w:p w14:paraId="1603BBE3" w14:textId="77777777" w:rsidR="00786FD7" w:rsidRPr="00B50AD7" w:rsidRDefault="00786FD7" w:rsidP="00177AE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793" w:type="pct"/>
            <w:gridSpan w:val="7"/>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84BB5B4" w14:textId="77777777" w:rsidR="00786FD7" w:rsidRPr="00B50AD7" w:rsidRDefault="00786FD7"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r>
      <w:tr w:rsidR="00786FD7" w:rsidRPr="00B50AD7" w14:paraId="1BDC1786" w14:textId="77777777" w:rsidTr="00914D81">
        <w:trPr>
          <w:trHeight w:val="526"/>
        </w:trPr>
        <w:tc>
          <w:tcPr>
            <w:tcW w:w="1207" w:type="pct"/>
            <w:tcBorders>
              <w:top w:val="single" w:sz="4" w:space="0" w:color="auto"/>
              <w:left w:val="single" w:sz="4" w:space="0" w:color="auto"/>
              <w:bottom w:val="single" w:sz="4" w:space="0" w:color="auto"/>
              <w:right w:val="single" w:sz="2" w:space="0" w:color="auto"/>
            </w:tcBorders>
            <w:shd w:val="clear" w:color="000000" w:fill="1F497D"/>
            <w:vAlign w:val="center"/>
          </w:tcPr>
          <w:p w14:paraId="760DAE56" w14:textId="77777777" w:rsidR="00786FD7" w:rsidRPr="00B50AD7" w:rsidRDefault="00786FD7" w:rsidP="00177AE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793" w:type="pct"/>
            <w:gridSpan w:val="7"/>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E60EA9" w14:textId="77777777" w:rsidR="00786FD7" w:rsidRPr="00B50AD7" w:rsidRDefault="00786FD7" w:rsidP="00177AE1">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r>
      <w:tr w:rsidR="00786FD7" w:rsidRPr="00B50AD7" w14:paraId="10D48975" w14:textId="77777777" w:rsidTr="006D1735">
        <w:trPr>
          <w:trHeight w:val="218"/>
        </w:trPr>
        <w:tc>
          <w:tcPr>
            <w:tcW w:w="1511" w:type="pct"/>
            <w:gridSpan w:val="3"/>
            <w:tcBorders>
              <w:top w:val="nil"/>
              <w:left w:val="nil"/>
              <w:bottom w:val="nil"/>
              <w:right w:val="nil"/>
            </w:tcBorders>
            <w:shd w:val="clear" w:color="auto" w:fill="auto"/>
            <w:vAlign w:val="center"/>
            <w:hideMark/>
          </w:tcPr>
          <w:p w14:paraId="58A87062" w14:textId="77777777" w:rsidR="00786FD7" w:rsidRPr="00B50AD7" w:rsidRDefault="00786FD7" w:rsidP="00177AE1">
            <w:pPr>
              <w:spacing w:after="0" w:line="240" w:lineRule="auto"/>
              <w:rPr>
                <w:rFonts w:ascii="Garamond" w:eastAsia="Times New Roman" w:hAnsi="Garamond" w:cstheme="minorHAnsi"/>
                <w:color w:val="000000"/>
                <w:lang w:eastAsia="it-IT"/>
              </w:rPr>
            </w:pPr>
          </w:p>
        </w:tc>
        <w:tc>
          <w:tcPr>
            <w:tcW w:w="901" w:type="pct"/>
            <w:tcBorders>
              <w:top w:val="nil"/>
              <w:left w:val="nil"/>
              <w:bottom w:val="nil"/>
              <w:right w:val="nil"/>
            </w:tcBorders>
            <w:shd w:val="clear" w:color="auto" w:fill="auto"/>
            <w:vAlign w:val="center"/>
            <w:hideMark/>
          </w:tcPr>
          <w:p w14:paraId="50EC510B" w14:textId="77777777" w:rsidR="00786FD7" w:rsidRPr="00B50AD7" w:rsidRDefault="00786FD7" w:rsidP="00177AE1">
            <w:pPr>
              <w:spacing w:after="0" w:line="240" w:lineRule="auto"/>
              <w:rPr>
                <w:rFonts w:ascii="Garamond" w:eastAsia="Times New Roman" w:hAnsi="Garamond" w:cstheme="minorHAnsi"/>
                <w:lang w:eastAsia="it-IT"/>
              </w:rPr>
            </w:pPr>
          </w:p>
        </w:tc>
        <w:tc>
          <w:tcPr>
            <w:tcW w:w="1331" w:type="pct"/>
            <w:tcBorders>
              <w:top w:val="nil"/>
              <w:left w:val="nil"/>
              <w:bottom w:val="nil"/>
              <w:right w:val="nil"/>
            </w:tcBorders>
            <w:shd w:val="clear" w:color="auto" w:fill="auto"/>
            <w:vAlign w:val="center"/>
            <w:hideMark/>
          </w:tcPr>
          <w:p w14:paraId="14EDECFD" w14:textId="77777777" w:rsidR="00786FD7" w:rsidRPr="00B50AD7" w:rsidRDefault="00786FD7" w:rsidP="00177AE1">
            <w:pPr>
              <w:spacing w:after="0" w:line="240" w:lineRule="auto"/>
              <w:jc w:val="right"/>
              <w:rPr>
                <w:rFonts w:ascii="Garamond" w:eastAsia="Times New Roman" w:hAnsi="Garamond" w:cstheme="minorHAnsi"/>
                <w:lang w:eastAsia="it-IT"/>
              </w:rPr>
            </w:pPr>
          </w:p>
        </w:tc>
        <w:tc>
          <w:tcPr>
            <w:tcW w:w="157" w:type="pct"/>
            <w:tcBorders>
              <w:top w:val="nil"/>
              <w:left w:val="nil"/>
              <w:bottom w:val="nil"/>
              <w:right w:val="nil"/>
            </w:tcBorders>
            <w:shd w:val="clear" w:color="auto" w:fill="auto"/>
            <w:vAlign w:val="center"/>
            <w:hideMark/>
          </w:tcPr>
          <w:p w14:paraId="06A95F29" w14:textId="77777777" w:rsidR="00786FD7" w:rsidRPr="00B50AD7" w:rsidRDefault="00786FD7" w:rsidP="00177AE1">
            <w:pPr>
              <w:spacing w:after="0" w:line="240" w:lineRule="auto"/>
              <w:jc w:val="right"/>
              <w:rPr>
                <w:rFonts w:ascii="Garamond" w:eastAsia="Times New Roman" w:hAnsi="Garamond" w:cstheme="minorHAnsi"/>
                <w:lang w:eastAsia="it-IT"/>
              </w:rPr>
            </w:pPr>
          </w:p>
        </w:tc>
        <w:tc>
          <w:tcPr>
            <w:tcW w:w="1100" w:type="pct"/>
            <w:gridSpan w:val="2"/>
            <w:tcBorders>
              <w:top w:val="nil"/>
              <w:left w:val="nil"/>
              <w:bottom w:val="nil"/>
              <w:right w:val="nil"/>
            </w:tcBorders>
            <w:shd w:val="clear" w:color="auto" w:fill="auto"/>
            <w:noWrap/>
            <w:vAlign w:val="center"/>
            <w:hideMark/>
          </w:tcPr>
          <w:p w14:paraId="2AB452AE" w14:textId="77777777" w:rsidR="00786FD7" w:rsidRPr="00B50AD7" w:rsidRDefault="00786FD7" w:rsidP="00177AE1">
            <w:pPr>
              <w:spacing w:after="0" w:line="240" w:lineRule="auto"/>
              <w:jc w:val="right"/>
              <w:rPr>
                <w:rFonts w:ascii="Garamond" w:eastAsia="Times New Roman" w:hAnsi="Garamond" w:cstheme="minorHAnsi"/>
                <w:lang w:eastAsia="it-IT"/>
              </w:rPr>
            </w:pPr>
          </w:p>
        </w:tc>
      </w:tr>
      <w:tr w:rsidR="00786FD7" w:rsidRPr="00B50AD7" w14:paraId="59CDEF83" w14:textId="77777777" w:rsidTr="00914D81">
        <w:trPr>
          <w:gridAfter w:val="1"/>
          <w:wAfter w:w="5" w:type="pct"/>
          <w:trHeight w:val="535"/>
        </w:trPr>
        <w:tc>
          <w:tcPr>
            <w:tcW w:w="4995"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77A14DC1" w14:textId="77777777" w:rsidR="00786FD7" w:rsidRPr="00B50AD7" w:rsidRDefault="00786FD7" w:rsidP="00D838D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progetto</w:t>
            </w:r>
          </w:p>
        </w:tc>
      </w:tr>
      <w:tr w:rsidR="00786FD7" w:rsidRPr="00B50AD7" w14:paraId="78E8F8AE" w14:textId="77777777" w:rsidTr="006D1735">
        <w:trPr>
          <w:gridAfter w:val="1"/>
          <w:wAfter w:w="5" w:type="pct"/>
          <w:trHeight w:val="538"/>
        </w:trPr>
        <w:tc>
          <w:tcPr>
            <w:tcW w:w="1285"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2FF5A525" w14:textId="77777777" w:rsidR="00786FD7" w:rsidRPr="00B50AD7" w:rsidRDefault="00786FD7" w:rsidP="00914D8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progetto</w:t>
            </w:r>
            <w:r w:rsidRPr="00A717D7">
              <w:rPr>
                <w:rFonts w:ascii="Garamond" w:eastAsia="Times New Roman" w:hAnsi="Garamond" w:cstheme="minorHAnsi"/>
                <w:b/>
                <w:bCs/>
                <w:color w:val="FFFFFF"/>
                <w:lang w:eastAsia="it-IT"/>
              </w:rPr>
              <w:t xml:space="preserve"> </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7DCD37DB" w14:textId="77777777" w:rsidR="00786FD7" w:rsidRPr="00B50AD7" w:rsidRDefault="00786FD7" w:rsidP="00D838D0">
            <w:pPr>
              <w:spacing w:after="0" w:line="240" w:lineRule="auto"/>
              <w:rPr>
                <w:rFonts w:ascii="Garamond" w:eastAsia="Times New Roman" w:hAnsi="Garamond" w:cstheme="minorHAnsi"/>
                <w:lang w:eastAsia="it-IT"/>
              </w:rPr>
            </w:pPr>
          </w:p>
        </w:tc>
      </w:tr>
      <w:tr w:rsidR="00786FD7" w:rsidRPr="00B50AD7" w14:paraId="21BEC430" w14:textId="77777777" w:rsidTr="006D1735">
        <w:trPr>
          <w:gridAfter w:val="1"/>
          <w:wAfter w:w="5" w:type="pct"/>
          <w:trHeight w:val="538"/>
        </w:trPr>
        <w:tc>
          <w:tcPr>
            <w:tcW w:w="1285"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3A9399B9" w14:textId="77777777" w:rsidR="00786FD7" w:rsidRPr="00B50AD7" w:rsidRDefault="00786FD7" w:rsidP="00914D81">
            <w:pPr>
              <w:spacing w:after="0" w:line="240" w:lineRule="auto"/>
              <w:jc w:val="right"/>
              <w:rPr>
                <w:rFonts w:ascii="Garamond" w:eastAsia="Times New Roman" w:hAnsi="Garamond" w:cstheme="minorHAnsi"/>
                <w:b/>
                <w:bCs/>
                <w:color w:val="FFFFFF"/>
                <w:lang w:eastAsia="it-IT"/>
              </w:rPr>
            </w:pPr>
            <w:r w:rsidRPr="0011171A">
              <w:rPr>
                <w:rFonts w:ascii="Garamond" w:eastAsia="Times New Roman" w:hAnsi="Garamond" w:cstheme="minorHAnsi"/>
                <w:b/>
                <w:bCs/>
                <w:color w:val="FFFFFF"/>
                <w:lang w:eastAsia="it-IT"/>
              </w:rPr>
              <w:t>Soggetto Beneficiario</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B7D1670" w14:textId="77777777" w:rsidR="00786FD7" w:rsidRPr="00B50AD7" w:rsidRDefault="00786FD7" w:rsidP="00D838D0">
            <w:pPr>
              <w:spacing w:after="0" w:line="240" w:lineRule="auto"/>
              <w:rPr>
                <w:rFonts w:ascii="Garamond" w:eastAsia="Times New Roman" w:hAnsi="Garamond" w:cstheme="minorHAnsi"/>
                <w:lang w:eastAsia="it-IT"/>
              </w:rPr>
            </w:pPr>
          </w:p>
        </w:tc>
      </w:tr>
      <w:tr w:rsidR="00786FD7" w:rsidRPr="00B50AD7" w14:paraId="394E2299" w14:textId="77777777" w:rsidTr="006D1735">
        <w:trPr>
          <w:gridAfter w:val="1"/>
          <w:wAfter w:w="5" w:type="pct"/>
          <w:trHeight w:val="538"/>
        </w:trPr>
        <w:tc>
          <w:tcPr>
            <w:tcW w:w="1285"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77EB6D19" w14:textId="77777777" w:rsidR="00786FD7" w:rsidRPr="00A717D7" w:rsidRDefault="00786FD7" w:rsidP="00914D81">
            <w:pPr>
              <w:spacing w:after="0" w:line="240" w:lineRule="auto"/>
              <w:jc w:val="right"/>
              <w:rPr>
                <w:rFonts w:ascii="Garamond" w:eastAsia="Times New Roman" w:hAnsi="Garamond" w:cstheme="minorHAnsi"/>
                <w:b/>
                <w:bCs/>
                <w:strike/>
                <w:color w:val="FFFFFF"/>
                <w:lang w:eastAsia="it-IT"/>
              </w:rPr>
            </w:pPr>
            <w:r w:rsidRPr="00A717D7">
              <w:rPr>
                <w:rFonts w:ascii="Garamond" w:eastAsia="Times New Roman" w:hAnsi="Garamond" w:cstheme="minorHAnsi"/>
                <w:b/>
                <w:bCs/>
                <w:color w:val="FFFFFF"/>
                <w:lang w:eastAsia="it-IT"/>
              </w:rPr>
              <w:t>Obiettivo Specifico</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1DC54D1F" w14:textId="77777777" w:rsidR="00786FD7" w:rsidRPr="00A717D7" w:rsidRDefault="00786FD7" w:rsidP="00D838D0">
            <w:pPr>
              <w:spacing w:after="0" w:line="240" w:lineRule="auto"/>
              <w:rPr>
                <w:rFonts w:ascii="Garamond" w:eastAsia="Times New Roman" w:hAnsi="Garamond" w:cstheme="minorHAnsi"/>
                <w:strike/>
                <w:lang w:eastAsia="it-IT"/>
              </w:rPr>
            </w:pPr>
          </w:p>
        </w:tc>
      </w:tr>
      <w:tr w:rsidR="00786FD7" w:rsidRPr="00B50AD7" w14:paraId="6CC63713" w14:textId="77777777" w:rsidTr="006D1735">
        <w:trPr>
          <w:gridAfter w:val="1"/>
          <w:wAfter w:w="5" w:type="pct"/>
          <w:trHeight w:val="412"/>
        </w:trPr>
        <w:tc>
          <w:tcPr>
            <w:tcW w:w="1285" w:type="pct"/>
            <w:gridSpan w:val="2"/>
            <w:vMerge w:val="restart"/>
            <w:tcBorders>
              <w:top w:val="single" w:sz="2" w:space="0" w:color="auto"/>
              <w:left w:val="single" w:sz="2" w:space="0" w:color="auto"/>
              <w:right w:val="single" w:sz="2" w:space="0" w:color="auto"/>
            </w:tcBorders>
            <w:shd w:val="clear" w:color="000000" w:fill="1F497D"/>
            <w:vAlign w:val="center"/>
          </w:tcPr>
          <w:p w14:paraId="573C8ECA" w14:textId="77777777" w:rsidR="00786FD7" w:rsidRDefault="00786FD7" w:rsidP="00914D81">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93EC482" w14:textId="77777777" w:rsidR="00786FD7" w:rsidRPr="00B50AD7" w:rsidRDefault="00786FD7" w:rsidP="00D838D0">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r>
      <w:tr w:rsidR="00786FD7" w:rsidRPr="00B50AD7" w14:paraId="2C5451BC" w14:textId="77777777" w:rsidTr="006D1735">
        <w:trPr>
          <w:gridAfter w:val="1"/>
          <w:wAfter w:w="5" w:type="pct"/>
          <w:trHeight w:val="438"/>
        </w:trPr>
        <w:tc>
          <w:tcPr>
            <w:tcW w:w="1285" w:type="pct"/>
            <w:gridSpan w:val="2"/>
            <w:vMerge/>
            <w:tcBorders>
              <w:left w:val="single" w:sz="2" w:space="0" w:color="auto"/>
              <w:bottom w:val="single" w:sz="2" w:space="0" w:color="auto"/>
              <w:right w:val="single" w:sz="2" w:space="0" w:color="auto"/>
            </w:tcBorders>
            <w:shd w:val="clear" w:color="000000" w:fill="1F497D"/>
            <w:vAlign w:val="center"/>
          </w:tcPr>
          <w:p w14:paraId="10BAE7C4" w14:textId="77777777" w:rsidR="00786FD7" w:rsidRPr="003D1AE6" w:rsidRDefault="00786FD7" w:rsidP="00914D81">
            <w:pPr>
              <w:spacing w:after="0" w:line="240" w:lineRule="auto"/>
              <w:jc w:val="right"/>
              <w:rPr>
                <w:rFonts w:ascii="Garamond" w:eastAsia="Times New Roman" w:hAnsi="Garamond" w:cstheme="minorHAnsi"/>
                <w:b/>
                <w:bCs/>
                <w:color w:val="FFFFFF"/>
                <w:highlight w:val="yellow"/>
                <w:lang w:eastAsia="it-IT"/>
              </w:rPr>
            </w:pP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6D5A0A30" w14:textId="77777777" w:rsidR="00786FD7" w:rsidRPr="00EB377B" w:rsidRDefault="00786FD7" w:rsidP="00D838D0">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r>
      <w:tr w:rsidR="00786FD7" w:rsidRPr="00B50AD7" w14:paraId="181A92F5" w14:textId="77777777" w:rsidTr="006D1735">
        <w:trPr>
          <w:gridAfter w:val="1"/>
          <w:wAfter w:w="5" w:type="pct"/>
          <w:trHeight w:val="538"/>
        </w:trPr>
        <w:tc>
          <w:tcPr>
            <w:tcW w:w="1285"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083D8CAC" w14:textId="77777777" w:rsidR="00786FD7" w:rsidRPr="003D1AE6" w:rsidRDefault="00786FD7" w:rsidP="00914D81">
            <w:pPr>
              <w:spacing w:after="0" w:line="240" w:lineRule="auto"/>
              <w:jc w:val="right"/>
              <w:rPr>
                <w:rFonts w:ascii="Garamond" w:eastAsia="Times New Roman" w:hAnsi="Garamond" w:cstheme="minorHAnsi"/>
                <w:b/>
                <w:bCs/>
                <w:color w:val="FFFFFF"/>
                <w:highlight w:val="yellow"/>
                <w:lang w:eastAsia="it-IT"/>
              </w:rPr>
            </w:pPr>
            <w:r w:rsidRPr="00565F7E">
              <w:rPr>
                <w:rFonts w:ascii="Garamond" w:eastAsia="Times New Roman" w:hAnsi="Garamond" w:cstheme="minorHAnsi"/>
                <w:b/>
                <w:bCs/>
                <w:color w:val="FFFFFF"/>
                <w:lang w:eastAsia="it-IT"/>
              </w:rPr>
              <w:t>Nominativo del controller</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3C4A5F67" w14:textId="77777777" w:rsidR="00786FD7" w:rsidRPr="00EB377B" w:rsidRDefault="00786FD7" w:rsidP="00D838D0">
            <w:pPr>
              <w:spacing w:after="0" w:line="240" w:lineRule="auto"/>
              <w:rPr>
                <w:rFonts w:ascii="Garamond" w:eastAsia="Times New Roman" w:hAnsi="Garamond" w:cstheme="minorHAnsi"/>
                <w:lang w:eastAsia="it-IT"/>
              </w:rPr>
            </w:pPr>
          </w:p>
        </w:tc>
      </w:tr>
      <w:tr w:rsidR="00786FD7" w:rsidRPr="00B50AD7" w14:paraId="560EDD82" w14:textId="77777777" w:rsidTr="006D1735">
        <w:trPr>
          <w:gridAfter w:val="1"/>
          <w:wAfter w:w="5" w:type="pct"/>
          <w:trHeight w:val="538"/>
        </w:trPr>
        <w:tc>
          <w:tcPr>
            <w:tcW w:w="1285" w:type="pct"/>
            <w:gridSpan w:val="2"/>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4AD71FF5" w14:textId="77777777" w:rsidR="00786FD7" w:rsidRPr="00B50AD7" w:rsidRDefault="00786FD7" w:rsidP="00914D8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CUP </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39F1E0BB" w14:textId="77777777" w:rsidR="00786FD7" w:rsidRDefault="00786FD7" w:rsidP="00D838D0">
            <w:pPr>
              <w:spacing w:after="0" w:line="240" w:lineRule="auto"/>
              <w:rPr>
                <w:rFonts w:ascii="Garamond" w:eastAsia="Times New Roman" w:hAnsi="Garamond" w:cstheme="minorHAnsi"/>
                <w:lang w:eastAsia="it-IT"/>
              </w:rPr>
            </w:pPr>
          </w:p>
          <w:p w14:paraId="0F4740E6" w14:textId="77777777" w:rsidR="00786FD7" w:rsidRDefault="00786FD7" w:rsidP="00D838D0">
            <w:pPr>
              <w:spacing w:after="0" w:line="240" w:lineRule="auto"/>
              <w:rPr>
                <w:rFonts w:ascii="Garamond" w:eastAsia="Times New Roman" w:hAnsi="Garamond" w:cstheme="minorHAnsi"/>
                <w:lang w:eastAsia="it-IT"/>
              </w:rPr>
            </w:pPr>
          </w:p>
        </w:tc>
      </w:tr>
      <w:tr w:rsidR="00786FD7" w:rsidRPr="00B50AD7" w14:paraId="75F79C23" w14:textId="77777777" w:rsidTr="006D1735">
        <w:trPr>
          <w:gridAfter w:val="1"/>
          <w:wAfter w:w="5" w:type="pct"/>
          <w:trHeight w:val="538"/>
        </w:trPr>
        <w:tc>
          <w:tcPr>
            <w:tcW w:w="1285" w:type="pct"/>
            <w:gridSpan w:val="2"/>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31B952E8" w14:textId="77777777" w:rsidR="00786FD7" w:rsidRDefault="00786FD7" w:rsidP="00914D8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CIG </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2DAE64E6" w14:textId="77777777" w:rsidR="00786FD7" w:rsidRDefault="00786FD7" w:rsidP="00D838D0">
            <w:pPr>
              <w:spacing w:after="0" w:line="240" w:lineRule="auto"/>
              <w:rPr>
                <w:rFonts w:ascii="Garamond" w:eastAsia="Times New Roman" w:hAnsi="Garamond" w:cstheme="minorHAnsi"/>
                <w:lang w:eastAsia="it-IT"/>
              </w:rPr>
            </w:pPr>
          </w:p>
        </w:tc>
      </w:tr>
      <w:tr w:rsidR="00786FD7" w:rsidRPr="00B50AD7" w14:paraId="59A03235" w14:textId="77777777" w:rsidTr="006D1735">
        <w:trPr>
          <w:gridAfter w:val="1"/>
          <w:wAfter w:w="5" w:type="pct"/>
          <w:trHeight w:val="838"/>
        </w:trPr>
        <w:tc>
          <w:tcPr>
            <w:tcW w:w="1285" w:type="pct"/>
            <w:gridSpan w:val="2"/>
            <w:tcBorders>
              <w:top w:val="single" w:sz="2" w:space="0" w:color="auto"/>
              <w:left w:val="single" w:sz="2" w:space="0" w:color="auto"/>
              <w:bottom w:val="single" w:sz="4" w:space="0" w:color="auto"/>
              <w:right w:val="single" w:sz="2" w:space="0" w:color="auto"/>
            </w:tcBorders>
            <w:shd w:val="clear" w:color="000000" w:fill="1F497D"/>
            <w:vAlign w:val="center"/>
          </w:tcPr>
          <w:p w14:paraId="76131CB4" w14:textId="77777777" w:rsidR="00786FD7" w:rsidRPr="00B50AD7" w:rsidRDefault="00786FD7" w:rsidP="00914D8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709" w:type="pct"/>
            <w:gridSpan w:val="5"/>
            <w:tcBorders>
              <w:top w:val="single" w:sz="2" w:space="0" w:color="auto"/>
              <w:left w:val="single" w:sz="2" w:space="0" w:color="auto"/>
              <w:bottom w:val="single" w:sz="4" w:space="0" w:color="auto"/>
              <w:right w:val="single" w:sz="2" w:space="0" w:color="auto"/>
            </w:tcBorders>
            <w:shd w:val="clear" w:color="auto" w:fill="auto"/>
            <w:noWrap/>
            <w:vAlign w:val="center"/>
          </w:tcPr>
          <w:p w14:paraId="56411D20" w14:textId="77777777" w:rsidR="00786FD7" w:rsidRDefault="00786FD7" w:rsidP="00D838D0">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7F154B4F" w14:textId="07EEDE26" w:rsidR="00786FD7" w:rsidRDefault="00786FD7" w:rsidP="00D838D0">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tc>
      </w:tr>
      <w:tr w:rsidR="00786FD7" w:rsidRPr="00B50AD7" w14:paraId="63CEBFB7" w14:textId="77777777" w:rsidTr="006D1735">
        <w:trPr>
          <w:gridAfter w:val="1"/>
          <w:wAfter w:w="5" w:type="pct"/>
          <w:trHeight w:val="538"/>
        </w:trPr>
        <w:tc>
          <w:tcPr>
            <w:tcW w:w="1285" w:type="pct"/>
            <w:gridSpan w:val="2"/>
            <w:tcBorders>
              <w:top w:val="single" w:sz="4" w:space="0" w:color="auto"/>
              <w:left w:val="single" w:sz="2" w:space="0" w:color="auto"/>
              <w:bottom w:val="single" w:sz="2" w:space="0" w:color="auto"/>
              <w:right w:val="single" w:sz="2" w:space="0" w:color="auto"/>
            </w:tcBorders>
            <w:shd w:val="clear" w:color="000000" w:fill="1F497D"/>
            <w:vAlign w:val="center"/>
            <w:hideMark/>
          </w:tcPr>
          <w:p w14:paraId="7D9EBB47" w14:textId="77777777" w:rsidR="00786FD7" w:rsidRPr="00B50AD7" w:rsidRDefault="00786FD7" w:rsidP="00914D8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progetto (€)</w:t>
            </w:r>
          </w:p>
        </w:tc>
        <w:tc>
          <w:tcPr>
            <w:tcW w:w="3709" w:type="pct"/>
            <w:gridSpan w:val="5"/>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4D839432" w14:textId="77777777" w:rsidR="00786FD7" w:rsidRPr="00B50AD7" w:rsidRDefault="00786FD7" w:rsidP="00D838D0">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786FD7" w:rsidRPr="00B50AD7" w14:paraId="30800460" w14:textId="77777777" w:rsidTr="006D1735">
        <w:trPr>
          <w:gridAfter w:val="1"/>
          <w:wAfter w:w="5" w:type="pct"/>
          <w:trHeight w:val="538"/>
        </w:trPr>
        <w:tc>
          <w:tcPr>
            <w:tcW w:w="1285" w:type="pct"/>
            <w:gridSpan w:val="2"/>
            <w:tcBorders>
              <w:top w:val="single" w:sz="2" w:space="0" w:color="auto"/>
              <w:left w:val="single" w:sz="2" w:space="0" w:color="auto"/>
              <w:bottom w:val="single" w:sz="2" w:space="0" w:color="auto"/>
              <w:right w:val="single" w:sz="2" w:space="0" w:color="auto"/>
            </w:tcBorders>
            <w:shd w:val="clear" w:color="000000" w:fill="1F497D"/>
            <w:vAlign w:val="center"/>
            <w:hideMark/>
          </w:tcPr>
          <w:p w14:paraId="757554F3" w14:textId="73A6550D" w:rsidR="00786FD7" w:rsidRPr="00B50AD7" w:rsidRDefault="00786FD7" w:rsidP="00914D81">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 xml:space="preserve">osto ammesso </w:t>
            </w:r>
            <w:r>
              <w:rPr>
                <w:rFonts w:ascii="Garamond" w:eastAsia="Times New Roman" w:hAnsi="Garamond" w:cstheme="minorHAnsi"/>
                <w:b/>
                <w:bCs/>
                <w:color w:val="FFFFFF"/>
                <w:lang w:eastAsia="it-IT"/>
              </w:rPr>
              <w:t xml:space="preserve">al </w:t>
            </w:r>
            <w:r w:rsidR="00E67DD2">
              <w:rPr>
                <w:rFonts w:ascii="Garamond" w:eastAsia="Times New Roman" w:hAnsi="Garamond" w:cstheme="minorHAnsi"/>
                <w:b/>
                <w:bCs/>
                <w:color w:val="FFFFFF"/>
                <w:lang w:eastAsia="it-IT"/>
              </w:rPr>
              <w:t xml:space="preserve">PO FEAD 2014-2020 </w:t>
            </w:r>
            <w:r>
              <w:rPr>
                <w:rFonts w:ascii="Garamond" w:eastAsia="Times New Roman" w:hAnsi="Garamond" w:cstheme="minorHAnsi"/>
                <w:b/>
                <w:bCs/>
                <w:color w:val="FFFFFF"/>
                <w:lang w:eastAsia="it-IT"/>
              </w:rPr>
              <w:t>(€)</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148D887" w14:textId="77777777" w:rsidR="00786FD7" w:rsidRPr="00B50AD7" w:rsidRDefault="00786FD7" w:rsidP="00D838D0">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786FD7" w:rsidRPr="00B50AD7" w14:paraId="796BD5F0" w14:textId="77777777" w:rsidTr="006D1735">
        <w:trPr>
          <w:gridAfter w:val="1"/>
          <w:wAfter w:w="5" w:type="pct"/>
          <w:trHeight w:val="538"/>
        </w:trPr>
        <w:tc>
          <w:tcPr>
            <w:tcW w:w="1285"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0FD70BE7" w14:textId="77777777" w:rsidR="00786FD7" w:rsidRPr="00B50AD7" w:rsidRDefault="00786FD7" w:rsidP="00914D8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7F044B4" w14:textId="77777777" w:rsidR="00786FD7" w:rsidRPr="00B50AD7" w:rsidRDefault="00786FD7" w:rsidP="00D838D0">
            <w:pPr>
              <w:spacing w:after="0" w:line="240" w:lineRule="auto"/>
              <w:rPr>
                <w:rFonts w:ascii="Garamond" w:eastAsia="Times New Roman" w:hAnsi="Garamond" w:cstheme="minorHAnsi"/>
                <w:lang w:eastAsia="it-IT"/>
              </w:rPr>
            </w:pPr>
          </w:p>
        </w:tc>
      </w:tr>
      <w:tr w:rsidR="00786FD7" w:rsidRPr="00B50AD7" w14:paraId="67F8CB32" w14:textId="77777777" w:rsidTr="006D1735">
        <w:trPr>
          <w:gridAfter w:val="1"/>
          <w:wAfter w:w="5" w:type="pct"/>
          <w:trHeight w:val="538"/>
        </w:trPr>
        <w:tc>
          <w:tcPr>
            <w:tcW w:w="1285"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1D35C92E" w14:textId="77777777" w:rsidR="00786FD7" w:rsidRPr="00B50AD7" w:rsidRDefault="00786FD7" w:rsidP="00914D81">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3373B9E3" w14:textId="77777777" w:rsidR="00786FD7" w:rsidRPr="00B50AD7" w:rsidRDefault="00786FD7" w:rsidP="00D838D0">
            <w:pPr>
              <w:spacing w:after="0" w:line="240" w:lineRule="auto"/>
              <w:rPr>
                <w:rFonts w:ascii="Garamond" w:eastAsia="Times New Roman" w:hAnsi="Garamond" w:cstheme="minorHAnsi"/>
                <w:lang w:eastAsia="it-IT"/>
              </w:rPr>
            </w:pPr>
          </w:p>
        </w:tc>
      </w:tr>
      <w:tr w:rsidR="00914D81" w:rsidRPr="00B50AD7" w14:paraId="7F957CDF" w14:textId="77777777" w:rsidTr="006D1735">
        <w:trPr>
          <w:gridAfter w:val="1"/>
          <w:wAfter w:w="5" w:type="pct"/>
          <w:trHeight w:val="538"/>
        </w:trPr>
        <w:tc>
          <w:tcPr>
            <w:tcW w:w="1285"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3E71D39C" w14:textId="77777777" w:rsidR="00914D81" w:rsidRDefault="00914D81" w:rsidP="00914D81">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2FCFDD17" w14:textId="77777777" w:rsidR="00914D81" w:rsidRDefault="00914D81" w:rsidP="00914D81">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r>
              <w:rPr>
                <w:rFonts w:ascii="Garamond" w:eastAsia="Times New Roman" w:hAnsi="Garamond" w:cstheme="minorHAnsi"/>
                <w:color w:val="FFFFFF" w:themeColor="background1"/>
                <w:sz w:val="18"/>
                <w:szCs w:val="18"/>
                <w:lang w:eastAsia="it-IT"/>
              </w:rPr>
              <w:t>)</w:t>
            </w:r>
          </w:p>
        </w:tc>
        <w:tc>
          <w:tcPr>
            <w:tcW w:w="3709"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546197E4" w14:textId="77777777" w:rsidR="00914D81" w:rsidRPr="00B50AD7" w:rsidRDefault="00914D81" w:rsidP="00D838D0">
            <w:pPr>
              <w:spacing w:after="0" w:line="240" w:lineRule="auto"/>
              <w:rPr>
                <w:rFonts w:ascii="Garamond" w:eastAsia="Times New Roman" w:hAnsi="Garamond" w:cstheme="minorHAnsi"/>
                <w:lang w:eastAsia="it-IT"/>
              </w:rPr>
            </w:pPr>
          </w:p>
        </w:tc>
      </w:tr>
    </w:tbl>
    <w:p w14:paraId="2C662325" w14:textId="77777777" w:rsidR="00ED65A5" w:rsidRDefault="00ED65A5" w:rsidP="00ED65A5">
      <w:pPr>
        <w:rPr>
          <w:rFonts w:ascii="Garamond" w:hAnsi="Garamond"/>
        </w:rPr>
        <w:sectPr w:rsidR="00ED65A5" w:rsidSect="00BB082A">
          <w:headerReference w:type="default" r:id="rId7"/>
          <w:footerReference w:type="default" r:id="rId8"/>
          <w:pgSz w:w="11906" w:h="16838"/>
          <w:pgMar w:top="1417" w:right="1134" w:bottom="1134" w:left="1134" w:header="708" w:footer="708" w:gutter="0"/>
          <w:cols w:space="708"/>
          <w:docGrid w:linePitch="360"/>
        </w:sectPr>
      </w:pPr>
    </w:p>
    <w:tbl>
      <w:tblPr>
        <w:tblW w:w="561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4392"/>
        <w:gridCol w:w="426"/>
        <w:gridCol w:w="567"/>
        <w:gridCol w:w="711"/>
        <w:gridCol w:w="1701"/>
        <w:gridCol w:w="2121"/>
        <w:gridCol w:w="1278"/>
        <w:gridCol w:w="3688"/>
      </w:tblGrid>
      <w:tr w:rsidR="00914D81" w:rsidRPr="00B50AD7" w14:paraId="10F6E276" w14:textId="77777777" w:rsidTr="00B277D2">
        <w:trPr>
          <w:trHeight w:val="360"/>
          <w:tblHeader/>
        </w:trPr>
        <w:tc>
          <w:tcPr>
            <w:tcW w:w="354" w:type="pct"/>
            <w:vMerge w:val="restart"/>
            <w:shd w:val="clear" w:color="000000" w:fill="1F497D"/>
            <w:vAlign w:val="center"/>
            <w:hideMark/>
          </w:tcPr>
          <w:p w14:paraId="0AFB1CC8" w14:textId="15FB44DF" w:rsidR="00E57513" w:rsidRPr="00B50AD7" w:rsidRDefault="00285A51" w:rsidP="00914D81">
            <w:pPr>
              <w:spacing w:after="0" w:line="240" w:lineRule="auto"/>
              <w:jc w:val="center"/>
              <w:rPr>
                <w:rFonts w:ascii="Garamond" w:eastAsia="Times New Roman" w:hAnsi="Garamond" w:cstheme="minorHAnsi"/>
                <w:b/>
                <w:bCs/>
                <w:color w:val="FFFFFF"/>
                <w:lang w:eastAsia="it-IT"/>
              </w:rPr>
            </w:pPr>
            <w:r w:rsidRPr="004D2668">
              <w:rPr>
                <w:rFonts w:ascii="Garamond" w:eastAsia="Times New Roman" w:hAnsi="Garamond" w:cstheme="minorHAnsi"/>
                <w:b/>
                <w:bCs/>
                <w:color w:val="FFFFFF"/>
                <w:lang w:eastAsia="it-IT"/>
              </w:rPr>
              <w:lastRenderedPageBreak/>
              <w:t>Codici di Controllo</w:t>
            </w:r>
          </w:p>
        </w:tc>
        <w:tc>
          <w:tcPr>
            <w:tcW w:w="1371" w:type="pct"/>
            <w:vMerge w:val="restart"/>
            <w:shd w:val="clear" w:color="000000" w:fill="1F497D"/>
            <w:vAlign w:val="center"/>
          </w:tcPr>
          <w:p w14:paraId="6B01455C" w14:textId="3BAA947F" w:rsidR="00E57513" w:rsidRPr="00B50AD7" w:rsidRDefault="000E0CAA" w:rsidP="00177AE1">
            <w:pPr>
              <w:spacing w:after="0" w:line="240" w:lineRule="auto"/>
              <w:jc w:val="center"/>
              <w:rPr>
                <w:rFonts w:ascii="Garamond" w:eastAsia="Times New Roman" w:hAnsi="Garamond" w:cstheme="minorHAnsi"/>
                <w:b/>
                <w:bCs/>
                <w:color w:val="FFFFFF"/>
                <w:lang w:eastAsia="it-IT"/>
              </w:rPr>
            </w:pPr>
            <w:r w:rsidRPr="000D6ED2">
              <w:rPr>
                <w:rFonts w:ascii="Garamond" w:eastAsia="Times New Roman" w:hAnsi="Garamond" w:cstheme="minorHAnsi"/>
                <w:b/>
                <w:bCs/>
                <w:color w:val="FFFFFF"/>
                <w:lang w:eastAsia="it-IT"/>
              </w:rPr>
              <w:t xml:space="preserve">MACROPROCESSO DA SOTTOPORRE A CONTROLLO </w:t>
            </w:r>
          </w:p>
        </w:tc>
        <w:tc>
          <w:tcPr>
            <w:tcW w:w="532" w:type="pct"/>
            <w:gridSpan w:val="3"/>
            <w:shd w:val="clear" w:color="000000" w:fill="1F497D"/>
            <w:vAlign w:val="center"/>
            <w:hideMark/>
          </w:tcPr>
          <w:p w14:paraId="629313B3" w14:textId="4139207B" w:rsidR="00E57513" w:rsidRPr="00B50AD7" w:rsidRDefault="0077606B" w:rsidP="00177AE1">
            <w:pPr>
              <w:spacing w:after="0" w:line="240" w:lineRule="auto"/>
              <w:jc w:val="center"/>
              <w:rPr>
                <w:rFonts w:ascii="Garamond" w:eastAsia="Times New Roman" w:hAnsi="Garamond" w:cstheme="minorHAnsi"/>
                <w:b/>
                <w:bCs/>
                <w:color w:val="FFFFFF"/>
                <w:lang w:eastAsia="it-IT"/>
              </w:rPr>
            </w:pPr>
            <w:r w:rsidRPr="00BC5FDA">
              <w:rPr>
                <w:rFonts w:ascii="Garamond" w:eastAsia="Times New Roman" w:hAnsi="Garamond" w:cstheme="minorHAnsi"/>
                <w:b/>
                <w:bCs/>
                <w:color w:val="FFFFFF"/>
                <w:lang w:eastAsia="it-IT"/>
              </w:rPr>
              <w:t>Esito del controllo</w:t>
            </w:r>
          </w:p>
        </w:tc>
        <w:tc>
          <w:tcPr>
            <w:tcW w:w="531" w:type="pct"/>
            <w:vMerge w:val="restart"/>
            <w:shd w:val="clear" w:color="000000" w:fill="1F497D"/>
            <w:vAlign w:val="center"/>
            <w:hideMark/>
          </w:tcPr>
          <w:p w14:paraId="3F67ACD1" w14:textId="3270CA1E" w:rsidR="00E57513" w:rsidRPr="00B50AD7" w:rsidRDefault="001008A7" w:rsidP="00177AE1">
            <w:pPr>
              <w:spacing w:after="0" w:line="240" w:lineRule="auto"/>
              <w:jc w:val="center"/>
              <w:rPr>
                <w:rFonts w:ascii="Garamond" w:eastAsia="Times New Roman" w:hAnsi="Garamond" w:cstheme="minorHAnsi"/>
                <w:b/>
                <w:bCs/>
                <w:color w:val="FFFFFF"/>
                <w:lang w:eastAsia="it-IT"/>
              </w:rPr>
            </w:pPr>
            <w:r w:rsidRPr="00693C77">
              <w:rPr>
                <w:rFonts w:ascii="Garamond" w:eastAsia="Times New Roman" w:hAnsi="Garamond" w:cstheme="minorHAnsi"/>
                <w:b/>
                <w:bCs/>
                <w:color w:val="FFFFFF"/>
                <w:lang w:eastAsia="it-IT"/>
              </w:rPr>
              <w:t>Estremi della documentazione probatoria</w:t>
            </w:r>
          </w:p>
        </w:tc>
        <w:tc>
          <w:tcPr>
            <w:tcW w:w="662" w:type="pct"/>
            <w:vMerge w:val="restart"/>
            <w:shd w:val="clear" w:color="000000" w:fill="1F497D"/>
            <w:vAlign w:val="center"/>
          </w:tcPr>
          <w:p w14:paraId="639E4519" w14:textId="7BEDD5EA" w:rsidR="00E57513" w:rsidRPr="00B50AD7" w:rsidRDefault="00E57513" w:rsidP="00E57513">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Commenti</w:t>
            </w:r>
          </w:p>
        </w:tc>
        <w:tc>
          <w:tcPr>
            <w:tcW w:w="399" w:type="pct"/>
            <w:vMerge w:val="restart"/>
            <w:shd w:val="clear" w:color="000000" w:fill="1F497D"/>
            <w:vAlign w:val="center"/>
            <w:hideMark/>
          </w:tcPr>
          <w:p w14:paraId="42C47A70" w14:textId="77777777" w:rsidR="00557E6F" w:rsidRPr="00557E6F" w:rsidRDefault="00557E6F" w:rsidP="00557E6F">
            <w:pPr>
              <w:spacing w:after="0" w:line="240" w:lineRule="auto"/>
              <w:jc w:val="center"/>
              <w:rPr>
                <w:rFonts w:ascii="Garamond" w:eastAsia="Times New Roman" w:hAnsi="Garamond" w:cstheme="minorHAnsi"/>
                <w:b/>
                <w:bCs/>
                <w:color w:val="FFFFFF"/>
                <w:lang w:eastAsia="it-IT"/>
              </w:rPr>
            </w:pPr>
            <w:r w:rsidRPr="00557E6F">
              <w:rPr>
                <w:rFonts w:ascii="Garamond" w:eastAsia="Times New Roman" w:hAnsi="Garamond" w:cstheme="minorHAnsi"/>
                <w:b/>
                <w:bCs/>
                <w:color w:val="FFFFFF"/>
                <w:lang w:eastAsia="it-IT"/>
              </w:rPr>
              <w:t>Follow up controlli</w:t>
            </w:r>
          </w:p>
          <w:p w14:paraId="075DB242" w14:textId="069A040A" w:rsidR="00E57513" w:rsidRPr="00B50AD7" w:rsidRDefault="00557E6F" w:rsidP="00557E6F">
            <w:pPr>
              <w:spacing w:after="0" w:line="240" w:lineRule="auto"/>
              <w:jc w:val="center"/>
              <w:rPr>
                <w:rFonts w:ascii="Garamond" w:eastAsia="Times New Roman" w:hAnsi="Garamond" w:cstheme="minorHAnsi"/>
                <w:b/>
                <w:bCs/>
                <w:color w:val="FFFFFF"/>
                <w:lang w:eastAsia="it-IT"/>
              </w:rPr>
            </w:pPr>
            <w:r w:rsidRPr="00557E6F">
              <w:rPr>
                <w:rFonts w:ascii="Garamond" w:eastAsia="Times New Roman" w:hAnsi="Garamond" w:cstheme="minorHAnsi"/>
                <w:b/>
                <w:bCs/>
                <w:color w:val="FFFFFF"/>
                <w:lang w:eastAsia="it-IT"/>
              </w:rPr>
              <w:t>(riportare esito e verbali di riferimento)</w:t>
            </w:r>
          </w:p>
        </w:tc>
        <w:tc>
          <w:tcPr>
            <w:tcW w:w="1151" w:type="pct"/>
            <w:vMerge w:val="restart"/>
            <w:shd w:val="clear" w:color="auto" w:fill="1F497D"/>
            <w:vAlign w:val="center"/>
          </w:tcPr>
          <w:p w14:paraId="308C49C5" w14:textId="77777777" w:rsidR="00E57513" w:rsidRPr="008F151A" w:rsidRDefault="00E57513" w:rsidP="00177AE1">
            <w:pPr>
              <w:spacing w:after="0" w:line="240" w:lineRule="auto"/>
              <w:jc w:val="center"/>
              <w:rPr>
                <w:rFonts w:ascii="Garamond" w:eastAsia="Times New Roman" w:hAnsi="Garamond" w:cstheme="minorHAnsi"/>
                <w:b/>
                <w:bCs/>
                <w:lang w:eastAsia="it-IT"/>
              </w:rPr>
            </w:pPr>
            <w:r w:rsidRPr="001008A7">
              <w:rPr>
                <w:rFonts w:ascii="Garamond" w:eastAsia="Times New Roman" w:hAnsi="Garamond" w:cstheme="minorHAnsi"/>
                <w:b/>
                <w:bCs/>
                <w:color w:val="FFFFFF" w:themeColor="background1"/>
                <w:lang w:eastAsia="it-IT"/>
              </w:rPr>
              <w:t>Oggetto del controllo</w:t>
            </w:r>
            <w:r w:rsidRPr="001008A7">
              <w:rPr>
                <w:rStyle w:val="FootnoteReference"/>
                <w:rFonts w:ascii="Garamond" w:eastAsia="Times New Roman" w:hAnsi="Garamond" w:cstheme="minorHAnsi"/>
                <w:b/>
                <w:bCs/>
                <w:color w:val="FFFFFF" w:themeColor="background1"/>
                <w:lang w:eastAsia="it-IT"/>
              </w:rPr>
              <w:footnoteReference w:id="2"/>
            </w:r>
          </w:p>
        </w:tc>
      </w:tr>
      <w:tr w:rsidR="00914D81" w:rsidRPr="00B50AD7" w14:paraId="65FA93F3" w14:textId="77777777" w:rsidTr="00B277D2">
        <w:trPr>
          <w:trHeight w:val="1128"/>
          <w:tblHeader/>
        </w:trPr>
        <w:tc>
          <w:tcPr>
            <w:tcW w:w="354" w:type="pct"/>
            <w:vMerge/>
            <w:shd w:val="clear" w:color="000000" w:fill="1F497D"/>
            <w:vAlign w:val="center"/>
          </w:tcPr>
          <w:p w14:paraId="4D136A55" w14:textId="77777777" w:rsidR="00E57513" w:rsidRDefault="00E57513" w:rsidP="00177AE1">
            <w:pPr>
              <w:spacing w:after="0" w:line="240" w:lineRule="auto"/>
              <w:jc w:val="center"/>
              <w:rPr>
                <w:rFonts w:ascii="Garamond" w:eastAsia="Times New Roman" w:hAnsi="Garamond" w:cstheme="minorHAnsi"/>
                <w:b/>
                <w:bCs/>
                <w:color w:val="FFFFFF"/>
                <w:lang w:eastAsia="it-IT"/>
              </w:rPr>
            </w:pPr>
          </w:p>
        </w:tc>
        <w:tc>
          <w:tcPr>
            <w:tcW w:w="1371" w:type="pct"/>
            <w:vMerge/>
            <w:shd w:val="clear" w:color="000000" w:fill="1F497D"/>
            <w:vAlign w:val="center"/>
          </w:tcPr>
          <w:p w14:paraId="7CE31F4F" w14:textId="77777777" w:rsidR="00E57513" w:rsidRPr="00B50AD7" w:rsidRDefault="00E57513" w:rsidP="00177AE1">
            <w:pPr>
              <w:spacing w:after="0" w:line="240" w:lineRule="auto"/>
              <w:jc w:val="center"/>
              <w:rPr>
                <w:rFonts w:ascii="Garamond" w:eastAsia="Times New Roman" w:hAnsi="Garamond" w:cstheme="minorHAnsi"/>
                <w:b/>
                <w:bCs/>
                <w:color w:val="FFFFFF"/>
                <w:lang w:eastAsia="it-IT"/>
              </w:rPr>
            </w:pPr>
          </w:p>
        </w:tc>
        <w:tc>
          <w:tcPr>
            <w:tcW w:w="133" w:type="pct"/>
            <w:shd w:val="clear" w:color="000000" w:fill="1F497D"/>
            <w:vAlign w:val="center"/>
          </w:tcPr>
          <w:p w14:paraId="30351123" w14:textId="36461971" w:rsidR="00E57513" w:rsidRPr="00B50AD7" w:rsidRDefault="00E57513"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177" w:type="pct"/>
            <w:shd w:val="clear" w:color="000000" w:fill="1F497D"/>
            <w:vAlign w:val="center"/>
          </w:tcPr>
          <w:p w14:paraId="7EDF33DE" w14:textId="3EB22CE3" w:rsidR="00E57513" w:rsidRPr="00B50AD7" w:rsidRDefault="00E57513"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22" w:type="pct"/>
            <w:shd w:val="clear" w:color="000000" w:fill="1F497D"/>
            <w:vAlign w:val="center"/>
          </w:tcPr>
          <w:p w14:paraId="53D5C8C7" w14:textId="4AE6430F" w:rsidR="00E57513" w:rsidRPr="00B50AD7" w:rsidRDefault="00E57513"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531" w:type="pct"/>
            <w:vMerge/>
            <w:shd w:val="clear" w:color="000000" w:fill="1F497D"/>
            <w:vAlign w:val="center"/>
          </w:tcPr>
          <w:p w14:paraId="4B846152" w14:textId="77777777" w:rsidR="00E57513" w:rsidRDefault="00E57513" w:rsidP="00177AE1">
            <w:pPr>
              <w:spacing w:after="0" w:line="240" w:lineRule="auto"/>
              <w:jc w:val="center"/>
              <w:rPr>
                <w:rFonts w:ascii="Garamond" w:eastAsia="Times New Roman" w:hAnsi="Garamond" w:cstheme="minorHAnsi"/>
                <w:b/>
                <w:bCs/>
                <w:color w:val="FFFFFF"/>
                <w:lang w:eastAsia="it-IT"/>
              </w:rPr>
            </w:pPr>
          </w:p>
        </w:tc>
        <w:tc>
          <w:tcPr>
            <w:tcW w:w="662" w:type="pct"/>
            <w:vMerge/>
            <w:shd w:val="clear" w:color="000000" w:fill="1F497D"/>
          </w:tcPr>
          <w:p w14:paraId="78C8DAA5" w14:textId="77777777" w:rsidR="00E57513" w:rsidRPr="00B50AD7" w:rsidRDefault="00E57513" w:rsidP="00177AE1">
            <w:pPr>
              <w:spacing w:after="0" w:line="240" w:lineRule="auto"/>
              <w:jc w:val="center"/>
              <w:rPr>
                <w:rFonts w:ascii="Garamond" w:eastAsia="Times New Roman" w:hAnsi="Garamond" w:cstheme="minorHAnsi"/>
                <w:b/>
                <w:bCs/>
                <w:color w:val="FFFFFF"/>
                <w:lang w:eastAsia="it-IT"/>
              </w:rPr>
            </w:pPr>
          </w:p>
        </w:tc>
        <w:tc>
          <w:tcPr>
            <w:tcW w:w="399" w:type="pct"/>
            <w:vMerge/>
            <w:shd w:val="clear" w:color="000000" w:fill="1F497D"/>
            <w:vAlign w:val="center"/>
          </w:tcPr>
          <w:p w14:paraId="30965743" w14:textId="072D880C" w:rsidR="00E57513" w:rsidRPr="00B50AD7" w:rsidRDefault="00E57513" w:rsidP="00177AE1">
            <w:pPr>
              <w:spacing w:after="0" w:line="240" w:lineRule="auto"/>
              <w:jc w:val="center"/>
              <w:rPr>
                <w:rFonts w:ascii="Garamond" w:eastAsia="Times New Roman" w:hAnsi="Garamond" w:cstheme="minorHAnsi"/>
                <w:b/>
                <w:bCs/>
                <w:color w:val="FFFFFF"/>
                <w:lang w:eastAsia="it-IT"/>
              </w:rPr>
            </w:pPr>
          </w:p>
        </w:tc>
        <w:tc>
          <w:tcPr>
            <w:tcW w:w="1151" w:type="pct"/>
            <w:vMerge/>
            <w:shd w:val="clear" w:color="auto" w:fill="1F497D"/>
            <w:vAlign w:val="center"/>
          </w:tcPr>
          <w:p w14:paraId="129E8254" w14:textId="77777777" w:rsidR="00E57513" w:rsidRPr="008F151A" w:rsidRDefault="00E57513" w:rsidP="00177AE1">
            <w:pPr>
              <w:spacing w:after="0" w:line="240" w:lineRule="auto"/>
              <w:jc w:val="center"/>
              <w:rPr>
                <w:rFonts w:ascii="Garamond" w:eastAsia="Times New Roman" w:hAnsi="Garamond" w:cstheme="minorHAnsi"/>
                <w:b/>
                <w:bCs/>
                <w:lang w:eastAsia="it-IT"/>
              </w:rPr>
            </w:pPr>
          </w:p>
        </w:tc>
      </w:tr>
      <w:tr w:rsidR="00AE1D72" w:rsidRPr="00023F3C" w14:paraId="08BDA7CF" w14:textId="77777777" w:rsidTr="00B1010E">
        <w:trPr>
          <w:trHeight w:val="781"/>
        </w:trPr>
        <w:tc>
          <w:tcPr>
            <w:tcW w:w="354" w:type="pct"/>
            <w:shd w:val="clear" w:color="000000" w:fill="B8CCE4"/>
            <w:vAlign w:val="center"/>
          </w:tcPr>
          <w:p w14:paraId="7874A997" w14:textId="4588C97E" w:rsidR="00AE1D72" w:rsidRPr="002C13A0" w:rsidRDefault="00AE1D72" w:rsidP="00177AE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A</w:t>
            </w:r>
          </w:p>
        </w:tc>
        <w:tc>
          <w:tcPr>
            <w:tcW w:w="4646" w:type="pct"/>
            <w:gridSpan w:val="8"/>
            <w:shd w:val="clear" w:color="000000" w:fill="B8CCE4"/>
            <w:vAlign w:val="center"/>
          </w:tcPr>
          <w:p w14:paraId="2E9AEE88" w14:textId="7F7CFAD1" w:rsidR="00AE1D72" w:rsidRPr="00023F3C" w:rsidRDefault="00AE1D72" w:rsidP="00AE1D72">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914D81" w:rsidRPr="00023F3C" w14:paraId="03B947A1" w14:textId="77777777" w:rsidTr="00B277D2">
        <w:trPr>
          <w:trHeight w:val="1417"/>
        </w:trPr>
        <w:tc>
          <w:tcPr>
            <w:tcW w:w="354" w:type="pct"/>
            <w:shd w:val="clear" w:color="auto" w:fill="auto"/>
            <w:vAlign w:val="center"/>
          </w:tcPr>
          <w:p w14:paraId="6EDB5FDA" w14:textId="465FB1C0" w:rsidR="00E57513" w:rsidRPr="008B4911" w:rsidRDefault="00E57513" w:rsidP="008B49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371" w:type="pct"/>
            <w:shd w:val="clear" w:color="auto" w:fill="auto"/>
            <w:vAlign w:val="center"/>
          </w:tcPr>
          <w:p w14:paraId="70F91C1D" w14:textId="77777777" w:rsidR="00E57513" w:rsidRPr="00023F3C" w:rsidRDefault="00E57513" w:rsidP="0075525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33" w:type="pct"/>
            <w:shd w:val="clear" w:color="auto" w:fill="auto"/>
            <w:vAlign w:val="center"/>
          </w:tcPr>
          <w:p w14:paraId="1FB8705C" w14:textId="77777777" w:rsidR="00E57513" w:rsidRPr="00023F3C" w:rsidRDefault="00E57513" w:rsidP="0075525B">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1BB3B96" w14:textId="77777777" w:rsidR="00E57513" w:rsidRPr="00023F3C" w:rsidRDefault="00E57513" w:rsidP="0075525B">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6E9ABE2" w14:textId="77777777" w:rsidR="00E57513" w:rsidRPr="00023F3C" w:rsidRDefault="00E57513" w:rsidP="0075525B">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D73AE08" w14:textId="77777777" w:rsidR="00E57513" w:rsidRPr="00023F3C" w:rsidRDefault="00E57513" w:rsidP="0075525B">
            <w:pPr>
              <w:spacing w:after="0" w:line="240" w:lineRule="auto"/>
              <w:jc w:val="both"/>
              <w:rPr>
                <w:rFonts w:ascii="Garamond" w:eastAsia="Times New Roman" w:hAnsi="Garamond" w:cs="Times New Roman"/>
                <w:b/>
                <w:bCs/>
                <w:color w:val="000000"/>
                <w:lang w:eastAsia="it-IT"/>
              </w:rPr>
            </w:pPr>
          </w:p>
        </w:tc>
        <w:tc>
          <w:tcPr>
            <w:tcW w:w="662" w:type="pct"/>
          </w:tcPr>
          <w:p w14:paraId="1F4DDFF4" w14:textId="77777777" w:rsidR="00E57513" w:rsidRPr="00046109" w:rsidRDefault="00E57513" w:rsidP="0075525B">
            <w:pPr>
              <w:spacing w:after="0" w:line="240" w:lineRule="auto"/>
              <w:jc w:val="both"/>
              <w:rPr>
                <w:rFonts w:ascii="Garamond" w:eastAsia="Times New Roman" w:hAnsi="Garamond" w:cs="Times New Roman"/>
                <w:color w:val="000000"/>
                <w:lang w:eastAsia="it-IT"/>
              </w:rPr>
            </w:pPr>
          </w:p>
        </w:tc>
        <w:tc>
          <w:tcPr>
            <w:tcW w:w="399" w:type="pct"/>
            <w:shd w:val="clear" w:color="auto" w:fill="auto"/>
            <w:vAlign w:val="center"/>
          </w:tcPr>
          <w:p w14:paraId="69E84AD3" w14:textId="3606007F" w:rsidR="00E57513" w:rsidRPr="00046109" w:rsidRDefault="00E57513" w:rsidP="0075525B">
            <w:pPr>
              <w:spacing w:after="0" w:line="240" w:lineRule="auto"/>
              <w:jc w:val="both"/>
              <w:rPr>
                <w:rFonts w:ascii="Garamond" w:eastAsia="Times New Roman" w:hAnsi="Garamond" w:cs="Times New Roman"/>
                <w:color w:val="000000"/>
                <w:lang w:eastAsia="it-IT"/>
              </w:rPr>
            </w:pPr>
          </w:p>
        </w:tc>
        <w:tc>
          <w:tcPr>
            <w:tcW w:w="1151" w:type="pct"/>
            <w:vAlign w:val="center"/>
          </w:tcPr>
          <w:p w14:paraId="22F7C87D" w14:textId="269F6921" w:rsidR="00E57513" w:rsidRDefault="00E57513" w:rsidP="0075525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delle forniture e servizi </w:t>
            </w:r>
          </w:p>
          <w:p w14:paraId="3D2FDC78" w14:textId="4C90DBEC" w:rsidR="00E57513" w:rsidRDefault="00E57513" w:rsidP="0075525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triennale </w:t>
            </w:r>
          </w:p>
          <w:p w14:paraId="7029CE18" w14:textId="77777777" w:rsidR="00E57513" w:rsidRPr="00B03F8E" w:rsidRDefault="00E57513" w:rsidP="0075525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77777777" w:rsidR="00E57513" w:rsidRPr="00023F3C" w:rsidRDefault="00E57513" w:rsidP="0075525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E67DD2">
              <w:rPr>
                <w:rFonts w:ascii="Garamond" w:eastAsia="Times New Roman" w:hAnsi="Garamond" w:cs="Times New Roman"/>
                <w:color w:val="000000"/>
                <w:lang w:eastAsia="it-IT"/>
              </w:rPr>
              <w:t>Link sito informatico del Ministero delle infrastrutture e dei trasporti e dell’Osservatorio</w:t>
            </w:r>
          </w:p>
        </w:tc>
      </w:tr>
      <w:tr w:rsidR="00914D81" w:rsidRPr="00023F3C" w14:paraId="5638D6C5" w14:textId="77777777" w:rsidTr="00B277D2">
        <w:trPr>
          <w:trHeight w:val="1009"/>
        </w:trPr>
        <w:tc>
          <w:tcPr>
            <w:tcW w:w="354" w:type="pct"/>
            <w:shd w:val="clear" w:color="auto" w:fill="auto"/>
            <w:vAlign w:val="center"/>
          </w:tcPr>
          <w:p w14:paraId="659F3385" w14:textId="0A197448" w:rsidR="00F67FDA" w:rsidRDefault="00730284" w:rsidP="00F67F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371" w:type="pct"/>
            <w:shd w:val="clear" w:color="auto" w:fill="auto"/>
            <w:vAlign w:val="center"/>
          </w:tcPr>
          <w:p w14:paraId="27885EAB" w14:textId="77777777" w:rsidR="00F67FDA" w:rsidRPr="00A0398D" w:rsidRDefault="00F67FDA" w:rsidP="0075525B">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33" w:type="pct"/>
            <w:shd w:val="clear" w:color="auto" w:fill="auto"/>
            <w:vAlign w:val="center"/>
          </w:tcPr>
          <w:p w14:paraId="35A4886F"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412DAA7"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25AE15A"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3842BBC"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662" w:type="pct"/>
          </w:tcPr>
          <w:p w14:paraId="7E1EAAD5"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108EB6AC" w14:textId="6B3F8002"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1151" w:type="pct"/>
            <w:vAlign w:val="center"/>
          </w:tcPr>
          <w:p w14:paraId="4E02A320" w14:textId="6C51CAC4" w:rsidR="00F67FDA" w:rsidRDefault="00F67FDA" w:rsidP="0075525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914D81" w:rsidRPr="00023F3C" w14:paraId="34AA3B0A" w14:textId="77777777" w:rsidTr="00B277D2">
        <w:trPr>
          <w:trHeight w:val="1009"/>
        </w:trPr>
        <w:tc>
          <w:tcPr>
            <w:tcW w:w="354" w:type="pct"/>
            <w:shd w:val="clear" w:color="auto" w:fill="auto"/>
            <w:vAlign w:val="center"/>
          </w:tcPr>
          <w:p w14:paraId="4F03F90F" w14:textId="36009CD3" w:rsidR="00F67FDA" w:rsidRDefault="00730284" w:rsidP="00F67F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371" w:type="pct"/>
            <w:shd w:val="clear" w:color="auto" w:fill="auto"/>
            <w:vAlign w:val="center"/>
          </w:tcPr>
          <w:p w14:paraId="667685D2" w14:textId="14F096D3" w:rsidR="00F67FDA" w:rsidRPr="00A21198" w:rsidRDefault="00F67FDA" w:rsidP="0075525B">
            <w:pPr>
              <w:spacing w:after="0" w:line="240" w:lineRule="auto"/>
              <w:jc w:val="both"/>
              <w:rPr>
                <w:rFonts w:ascii="Garamond" w:eastAsia="Times New Roman" w:hAnsi="Garamond" w:cs="Times New Roman"/>
                <w:color w:val="000000"/>
                <w:lang w:eastAsia="it-IT"/>
              </w:rPr>
            </w:pPr>
            <w:r w:rsidRPr="00EF7550">
              <w:rPr>
                <w:rFonts w:ascii="Garamond" w:eastAsia="Times New Roman" w:hAnsi="Garamond" w:cs="Times New Roman"/>
                <w:color w:val="000000"/>
                <w:lang w:eastAsia="it-IT"/>
              </w:rPr>
              <w:t xml:space="preserve">Per gli acquisti di beni e servizi informatici e di connettività di cui all’art. 1, comma 512, </w:t>
            </w:r>
            <w:r>
              <w:rPr>
                <w:rFonts w:ascii="Garamond" w:eastAsia="Times New Roman" w:hAnsi="Garamond" w:cs="Times New Roman"/>
                <w:color w:val="000000"/>
                <w:lang w:eastAsia="it-IT"/>
              </w:rPr>
              <w:t>della legge</w:t>
            </w:r>
            <w:r w:rsidRPr="00EF7550">
              <w:rPr>
                <w:rFonts w:ascii="Garamond" w:eastAsia="Times New Roman" w:hAnsi="Garamond" w:cs="Times New Roman"/>
                <w:color w:val="000000"/>
                <w:lang w:eastAsia="it-IT"/>
              </w:rPr>
              <w:t xml:space="preserve">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w:t>
            </w:r>
            <w:r w:rsidRPr="00EF7550">
              <w:rPr>
                <w:rFonts w:ascii="Garamond" w:eastAsia="Times New Roman" w:hAnsi="Garamond" w:cs="Times New Roman"/>
                <w:color w:val="000000"/>
                <w:lang w:eastAsia="it-IT"/>
              </w:rPr>
              <w:lastRenderedPageBreak/>
              <w:t>soddisfacimento dello specifico fabbisogno dell'amministrazione ovvero ai casi di necessità ed urgenza comunque funzionali ad assicurare la continuità della gestione amministrativa</w:t>
            </w:r>
            <w:r>
              <w:rPr>
                <w:rFonts w:ascii="Garamond" w:eastAsia="Times New Roman" w:hAnsi="Garamond" w:cs="Times New Roman"/>
                <w:color w:val="000000"/>
                <w:lang w:eastAsia="it-IT"/>
              </w:rPr>
              <w:t>?</w:t>
            </w:r>
          </w:p>
        </w:tc>
        <w:tc>
          <w:tcPr>
            <w:tcW w:w="133" w:type="pct"/>
            <w:shd w:val="clear" w:color="auto" w:fill="auto"/>
            <w:vAlign w:val="center"/>
          </w:tcPr>
          <w:p w14:paraId="6BF8AD2B"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E182955"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FF66C22"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B9F2E6A"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662" w:type="pct"/>
          </w:tcPr>
          <w:p w14:paraId="0717DFE0"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4C47F15" w14:textId="106B7FF0"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1151" w:type="pct"/>
            <w:vAlign w:val="center"/>
          </w:tcPr>
          <w:p w14:paraId="114C3C19" w14:textId="18DCBFD6" w:rsidR="00F67FDA" w:rsidRPr="00023F3C" w:rsidRDefault="00F67FDA" w:rsidP="0075525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857621" w:rsidRPr="00023F3C" w14:paraId="41B9AB9D" w14:textId="77777777" w:rsidTr="00B277D2">
        <w:trPr>
          <w:trHeight w:val="1009"/>
        </w:trPr>
        <w:tc>
          <w:tcPr>
            <w:tcW w:w="354" w:type="pct"/>
            <w:shd w:val="clear" w:color="auto" w:fill="auto"/>
            <w:vAlign w:val="center"/>
          </w:tcPr>
          <w:p w14:paraId="741071B0" w14:textId="4EB2CA7E" w:rsidR="00857621" w:rsidRDefault="00730284" w:rsidP="0085762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371" w:type="pct"/>
            <w:shd w:val="clear" w:color="auto" w:fill="auto"/>
            <w:vAlign w:val="center"/>
          </w:tcPr>
          <w:p w14:paraId="35E65F21" w14:textId="06B245A4" w:rsidR="00857621" w:rsidRPr="00EF7550" w:rsidRDefault="00857621" w:rsidP="0075525B">
            <w:pPr>
              <w:spacing w:after="0" w:line="240" w:lineRule="auto"/>
              <w:jc w:val="both"/>
              <w:rPr>
                <w:rFonts w:ascii="Garamond" w:eastAsia="Times New Roman" w:hAnsi="Garamond" w:cs="Times New Roman"/>
                <w:color w:val="000000"/>
                <w:lang w:eastAsia="it-IT"/>
              </w:rPr>
            </w:pPr>
            <w:r w:rsidRPr="002420BF">
              <w:rPr>
                <w:rFonts w:ascii="Garamond" w:eastAsia="Times New Roman" w:hAnsi="Garamond" w:cs="Times New Roman"/>
                <w:lang w:eastAsia="it-IT"/>
              </w:rPr>
              <w:t xml:space="preserve">La </w:t>
            </w:r>
            <w:r w:rsidR="00EF1BFE">
              <w:rPr>
                <w:rFonts w:ascii="Garamond" w:eastAsia="Times New Roman" w:hAnsi="Garamond" w:cs="Times New Roman"/>
                <w:lang w:eastAsia="it-IT"/>
              </w:rPr>
              <w:t>Stazione Appaltante</w:t>
            </w:r>
            <w:r w:rsidRPr="002420BF">
              <w:rPr>
                <w:rFonts w:ascii="Garamond" w:eastAsia="Times New Roman" w:hAnsi="Garamond" w:cs="Times New Roman"/>
                <w:lang w:eastAsia="it-IT"/>
              </w:rPr>
              <w:t xml:space="preserve"> è in possesso della qualificazione prevista all'art. 62 del </w:t>
            </w:r>
            <w:r>
              <w:rPr>
                <w:rFonts w:ascii="Garamond" w:eastAsia="Times New Roman" w:hAnsi="Garamond" w:cs="Times New Roman"/>
                <w:lang w:eastAsia="it-IT"/>
              </w:rPr>
              <w:t>D</w:t>
            </w:r>
            <w:r w:rsidRPr="002420BF">
              <w:rPr>
                <w:rFonts w:ascii="Garamond" w:eastAsia="Times New Roman" w:hAnsi="Garamond" w:cs="Times New Roman"/>
                <w:lang w:eastAsia="it-IT"/>
              </w:rPr>
              <w:t>.</w:t>
            </w:r>
            <w:r>
              <w:rPr>
                <w:rFonts w:ascii="Garamond" w:eastAsia="Times New Roman" w:hAnsi="Garamond" w:cs="Times New Roman"/>
                <w:lang w:eastAsia="it-IT"/>
              </w:rPr>
              <w:t xml:space="preserve"> L</w:t>
            </w:r>
            <w:r w:rsidRPr="002420BF">
              <w:rPr>
                <w:rFonts w:ascii="Garamond" w:eastAsia="Times New Roman" w:hAnsi="Garamond" w:cs="Times New Roman"/>
                <w:lang w:eastAsia="it-IT"/>
              </w:rPr>
              <w:t>gs. 36/2023 e ha rispettato quanto disposto dall'art. 63 e dall’</w:t>
            </w:r>
            <w:r>
              <w:rPr>
                <w:rFonts w:ascii="Garamond" w:eastAsia="Times New Roman" w:hAnsi="Garamond" w:cs="Times New Roman"/>
                <w:lang w:eastAsia="it-IT"/>
              </w:rPr>
              <w:t>A</w:t>
            </w:r>
            <w:r w:rsidRPr="002420BF">
              <w:rPr>
                <w:rFonts w:ascii="Garamond" w:eastAsia="Times New Roman" w:hAnsi="Garamond" w:cs="Times New Roman"/>
                <w:lang w:eastAsia="it-IT"/>
              </w:rPr>
              <w:t xml:space="preserve">llegato II.4 </w:t>
            </w:r>
            <w:r>
              <w:rPr>
                <w:rFonts w:ascii="Garamond" w:eastAsia="Times New Roman" w:hAnsi="Garamond" w:cs="Times New Roman"/>
                <w:lang w:eastAsia="it-IT"/>
              </w:rPr>
              <w:t>a</w:t>
            </w:r>
            <w:r w:rsidRPr="002420BF">
              <w:rPr>
                <w:rFonts w:ascii="Garamond" w:eastAsia="Times New Roman" w:hAnsi="Garamond" w:cs="Times New Roman"/>
                <w:lang w:eastAsia="it-IT"/>
              </w:rPr>
              <w:t xml:space="preserve">l </w:t>
            </w:r>
            <w:r>
              <w:rPr>
                <w:rFonts w:ascii="Garamond" w:eastAsia="Times New Roman" w:hAnsi="Garamond" w:cs="Times New Roman"/>
                <w:lang w:eastAsia="it-IT"/>
              </w:rPr>
              <w:t>D</w:t>
            </w:r>
            <w:r w:rsidRPr="002420BF">
              <w:rPr>
                <w:rFonts w:ascii="Garamond" w:eastAsia="Times New Roman" w:hAnsi="Garamond" w:cs="Times New Roman"/>
                <w:lang w:eastAsia="it-IT"/>
              </w:rPr>
              <w:t>.</w:t>
            </w:r>
            <w:r>
              <w:rPr>
                <w:rFonts w:ascii="Garamond" w:eastAsia="Times New Roman" w:hAnsi="Garamond" w:cs="Times New Roman"/>
                <w:lang w:eastAsia="it-IT"/>
              </w:rPr>
              <w:t xml:space="preserve"> L</w:t>
            </w:r>
            <w:r w:rsidRPr="002420BF">
              <w:rPr>
                <w:rFonts w:ascii="Garamond" w:eastAsia="Times New Roman" w:hAnsi="Garamond" w:cs="Times New Roman"/>
                <w:lang w:eastAsia="it-IT"/>
              </w:rPr>
              <w:t>gs. 36/2023 per l’affidamento di lavori di importo pari o superiore a 500.000 €?</w:t>
            </w:r>
          </w:p>
        </w:tc>
        <w:tc>
          <w:tcPr>
            <w:tcW w:w="133" w:type="pct"/>
            <w:shd w:val="clear" w:color="auto" w:fill="auto"/>
            <w:vAlign w:val="center"/>
          </w:tcPr>
          <w:p w14:paraId="61DC47EF" w14:textId="77777777" w:rsidR="00857621" w:rsidRPr="00023F3C" w:rsidRDefault="00857621" w:rsidP="0075525B">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AC07896" w14:textId="77777777" w:rsidR="00857621" w:rsidRPr="00023F3C" w:rsidRDefault="00857621" w:rsidP="0075525B">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4DEE763" w14:textId="77777777" w:rsidR="00857621" w:rsidRPr="00023F3C" w:rsidRDefault="00857621" w:rsidP="0075525B">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65F9317" w14:textId="77777777" w:rsidR="00857621" w:rsidRPr="00023F3C" w:rsidRDefault="00857621" w:rsidP="0075525B">
            <w:pPr>
              <w:spacing w:after="0" w:line="240" w:lineRule="auto"/>
              <w:jc w:val="both"/>
              <w:rPr>
                <w:rFonts w:ascii="Garamond" w:eastAsia="Times New Roman" w:hAnsi="Garamond" w:cs="Times New Roman"/>
                <w:b/>
                <w:bCs/>
                <w:color w:val="000000"/>
                <w:lang w:eastAsia="it-IT"/>
              </w:rPr>
            </w:pPr>
          </w:p>
        </w:tc>
        <w:tc>
          <w:tcPr>
            <w:tcW w:w="662" w:type="pct"/>
          </w:tcPr>
          <w:p w14:paraId="6B9A8FD3" w14:textId="695D8E97" w:rsidR="00857621" w:rsidRPr="00027A10" w:rsidRDefault="00857621" w:rsidP="0075525B">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vAlign w:val="center"/>
          </w:tcPr>
          <w:p w14:paraId="238C93E1" w14:textId="77777777" w:rsidR="00857621" w:rsidRPr="00023F3C" w:rsidRDefault="00857621" w:rsidP="0075525B">
            <w:pPr>
              <w:spacing w:after="0" w:line="240" w:lineRule="auto"/>
              <w:jc w:val="both"/>
              <w:rPr>
                <w:rFonts w:ascii="Garamond" w:eastAsia="Times New Roman" w:hAnsi="Garamond" w:cs="Times New Roman"/>
                <w:b/>
                <w:bCs/>
                <w:color w:val="000000"/>
                <w:lang w:eastAsia="it-IT"/>
              </w:rPr>
            </w:pPr>
          </w:p>
        </w:tc>
        <w:tc>
          <w:tcPr>
            <w:tcW w:w="1151" w:type="pct"/>
            <w:vAlign w:val="center"/>
          </w:tcPr>
          <w:p w14:paraId="6311ECE3" w14:textId="4C738B18" w:rsidR="00857621" w:rsidRPr="00023F3C" w:rsidRDefault="00857621" w:rsidP="0075525B">
            <w:pPr>
              <w:spacing w:after="0" w:line="240" w:lineRule="auto"/>
              <w:jc w:val="both"/>
              <w:rPr>
                <w:rFonts w:ascii="Garamond" w:eastAsia="Times New Roman" w:hAnsi="Garamond" w:cs="Times New Roman"/>
                <w:color w:val="000000"/>
                <w:lang w:eastAsia="it-IT"/>
              </w:rPr>
            </w:pPr>
            <w:r w:rsidRPr="002420BF">
              <w:rPr>
                <w:rFonts w:ascii="Garamond" w:eastAsia="Times New Roman" w:hAnsi="Garamond" w:cs="Times New Roman"/>
                <w:lang w:eastAsia="it-IT"/>
              </w:rPr>
              <w:t>• Decisione di contrarre o atto analogo</w:t>
            </w:r>
          </w:p>
        </w:tc>
      </w:tr>
      <w:tr w:rsidR="00CA068F" w:rsidRPr="00023F3C" w14:paraId="09A13B36" w14:textId="77777777" w:rsidTr="000415FA">
        <w:trPr>
          <w:trHeight w:val="823"/>
        </w:trPr>
        <w:tc>
          <w:tcPr>
            <w:tcW w:w="354" w:type="pct"/>
            <w:shd w:val="clear" w:color="auto" w:fill="auto"/>
            <w:vAlign w:val="center"/>
          </w:tcPr>
          <w:p w14:paraId="21CB9A47" w14:textId="3D41DF96" w:rsidR="00CA068F" w:rsidRDefault="00CA068F" w:rsidP="00CA068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371" w:type="pct"/>
            <w:shd w:val="clear" w:color="auto" w:fill="auto"/>
            <w:vAlign w:val="center"/>
          </w:tcPr>
          <w:p w14:paraId="232B48F2" w14:textId="77777777" w:rsidR="00CA068F" w:rsidRPr="00004E80" w:rsidRDefault="00CA068F" w:rsidP="00CA068F">
            <w:pPr>
              <w:spacing w:after="0" w:line="240" w:lineRule="auto"/>
              <w:jc w:val="both"/>
              <w:rPr>
                <w:rFonts w:ascii="Garamond" w:eastAsia="Times New Roman" w:hAnsi="Garamond" w:cs="Times New Roman"/>
                <w:color w:val="000000"/>
                <w:lang w:eastAsia="it-IT"/>
              </w:rPr>
            </w:pPr>
            <w:r w:rsidRPr="00004E80">
              <w:rPr>
                <w:rFonts w:ascii="Garamond" w:eastAsia="Times New Roman" w:hAnsi="Garamond" w:cs="Times New Roman"/>
                <w:color w:val="000000"/>
                <w:lang w:eastAsia="it-IT"/>
              </w:rPr>
              <w:t xml:space="preserve">Laddove la </w:t>
            </w:r>
            <w:r>
              <w:rPr>
                <w:rFonts w:ascii="Garamond" w:eastAsia="Times New Roman" w:hAnsi="Garamond" w:cs="Times New Roman"/>
                <w:color w:val="000000"/>
                <w:lang w:eastAsia="it-IT"/>
              </w:rPr>
              <w:t>Stazione Appaltante</w:t>
            </w:r>
            <w:r w:rsidRPr="00004E80">
              <w:rPr>
                <w:rFonts w:ascii="Garamond" w:eastAsia="Times New Roman" w:hAnsi="Garamond" w:cs="Times New Roman"/>
                <w:color w:val="000000"/>
                <w:lang w:eastAsia="it-IT"/>
              </w:rPr>
              <w:t xml:space="preserve"> non è qualificata, ha proceduto </w:t>
            </w:r>
            <w:r>
              <w:rPr>
                <w:rFonts w:ascii="Garamond" w:eastAsia="Times New Roman" w:hAnsi="Garamond" w:cs="Times New Roman"/>
                <w:color w:val="000000"/>
                <w:lang w:eastAsia="it-IT"/>
              </w:rPr>
              <w:t xml:space="preserve">all’acquisto </w:t>
            </w:r>
            <w:r w:rsidRPr="00004E80">
              <w:rPr>
                <w:rFonts w:ascii="Garamond" w:eastAsia="Times New Roman" w:hAnsi="Garamond" w:cs="Times New Roman"/>
                <w:color w:val="000000"/>
                <w:lang w:eastAsia="it-IT"/>
              </w:rPr>
              <w:t>nel rispetto di quanto disposto a</w:t>
            </w:r>
            <w:r>
              <w:rPr>
                <w:rFonts w:ascii="Garamond" w:eastAsia="Times New Roman" w:hAnsi="Garamond" w:cs="Times New Roman"/>
                <w:color w:val="000000"/>
                <w:lang w:eastAsia="it-IT"/>
              </w:rPr>
              <w:t xml:space="preserve">ll’art. 62, comma 6, </w:t>
            </w:r>
            <w:r w:rsidRPr="00004E80">
              <w:rPr>
                <w:rFonts w:ascii="Garamond" w:eastAsia="Times New Roman" w:hAnsi="Garamond" w:cs="Times New Roman"/>
                <w:color w:val="000000"/>
                <w:lang w:eastAsia="it-IT"/>
              </w:rPr>
              <w:t xml:space="preserve">del </w:t>
            </w:r>
            <w:r>
              <w:rPr>
                <w:rFonts w:ascii="Garamond" w:eastAsia="Times New Roman" w:hAnsi="Garamond" w:cs="Times New Roman"/>
                <w:color w:val="000000"/>
                <w:lang w:eastAsia="it-IT"/>
              </w:rPr>
              <w:t>D</w:t>
            </w:r>
            <w:r w:rsidRPr="00004E8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004E8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004E80">
              <w:rPr>
                <w:rFonts w:ascii="Garamond" w:eastAsia="Times New Roman" w:hAnsi="Garamond" w:cs="Times New Roman"/>
                <w:color w:val="000000"/>
                <w:lang w:eastAsia="it-IT"/>
              </w:rPr>
              <w:t xml:space="preserve"> ovvero:</w:t>
            </w:r>
          </w:p>
          <w:p w14:paraId="4E9A4261" w14:textId="77777777" w:rsidR="00CA068F" w:rsidRPr="00534866" w:rsidRDefault="00CA068F" w:rsidP="00CA068F">
            <w:pPr>
              <w:pStyle w:val="ListParagraph"/>
              <w:numPr>
                <w:ilvl w:val="0"/>
                <w:numId w:val="35"/>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ricorrendo ad una Centrale di committenza qualificata;</w:t>
            </w:r>
          </w:p>
          <w:p w14:paraId="0EF1749C" w14:textId="77777777" w:rsidR="00CA068F" w:rsidRPr="00534866" w:rsidRDefault="00CA068F" w:rsidP="00CA068F">
            <w:pPr>
              <w:pStyle w:val="ListParagraph"/>
              <w:numPr>
                <w:ilvl w:val="0"/>
                <w:numId w:val="35"/>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ricorrendo, per attività di committenza ausiliaria a centrali di committenza qualificate e a stazioni appaltanti qualificate;</w:t>
            </w:r>
          </w:p>
          <w:p w14:paraId="60133154" w14:textId="77777777" w:rsidR="00CA068F" w:rsidRPr="00534866" w:rsidRDefault="00CA068F" w:rsidP="00CA068F">
            <w:pPr>
              <w:pStyle w:val="ListParagraph"/>
              <w:numPr>
                <w:ilvl w:val="0"/>
                <w:numId w:val="35"/>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 xml:space="preserve">effettuando ordini su strumenti di acquisto messi a disposizione dalle centrali di committenza qualificate e dai soggetti aggregatori, con preliminare preferenza per il territorio regionale di riferimento. (Se il bene o il servizio non è disponibile o idoneo al soddisfacimento dello specifico fabbisogno della Stazione </w:t>
            </w:r>
            <w:r w:rsidRPr="00534866">
              <w:rPr>
                <w:rFonts w:ascii="Garamond" w:eastAsia="Times New Roman" w:hAnsi="Garamond" w:cs="Times New Roman"/>
                <w:color w:val="000000"/>
                <w:lang w:eastAsia="it-IT"/>
              </w:rPr>
              <w:lastRenderedPageBreak/>
              <w:t>Appaltante, oppure per ragioni di convenienza economica, la Stazione Appaltante può agire, previa motivazione, senza limiti territoriali);</w:t>
            </w:r>
          </w:p>
          <w:p w14:paraId="5B58473E" w14:textId="77777777" w:rsidR="00CA068F" w:rsidRPr="00534866" w:rsidRDefault="00CA068F" w:rsidP="00CA068F">
            <w:pPr>
              <w:pStyle w:val="ListParagraph"/>
              <w:numPr>
                <w:ilvl w:val="0"/>
                <w:numId w:val="35"/>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eseguendo i contratti per i quali sono qualificate per l’esecuzione;</w:t>
            </w:r>
          </w:p>
          <w:p w14:paraId="776ACA44" w14:textId="77777777" w:rsidR="00730284" w:rsidRDefault="00CA068F" w:rsidP="00CA068F">
            <w:pPr>
              <w:pStyle w:val="ListParagraph"/>
              <w:numPr>
                <w:ilvl w:val="0"/>
                <w:numId w:val="35"/>
              </w:numPr>
              <w:spacing w:after="0" w:line="240" w:lineRule="auto"/>
              <w:jc w:val="both"/>
              <w:rPr>
                <w:rFonts w:ascii="Garamond" w:eastAsia="Times New Roman" w:hAnsi="Garamond" w:cs="Times New Roman"/>
                <w:color w:val="000000"/>
                <w:lang w:eastAsia="it-IT"/>
              </w:rPr>
            </w:pPr>
            <w:r w:rsidRPr="00534866">
              <w:rPr>
                <w:rFonts w:ascii="Garamond" w:eastAsia="Times New Roman" w:hAnsi="Garamond" w:cs="Times New Roman"/>
                <w:color w:val="000000"/>
                <w:lang w:eastAsia="it-IT"/>
              </w:rPr>
              <w:t>eseguendo i contratti affidati ai sensi della lettera b);</w:t>
            </w:r>
          </w:p>
          <w:p w14:paraId="1AEA68E4" w14:textId="1825A655" w:rsidR="00CA068F" w:rsidRPr="00730284" w:rsidRDefault="00CA068F" w:rsidP="00CA068F">
            <w:pPr>
              <w:pStyle w:val="ListParagraph"/>
              <w:numPr>
                <w:ilvl w:val="0"/>
                <w:numId w:val="35"/>
              </w:numPr>
              <w:spacing w:after="0" w:line="240" w:lineRule="auto"/>
              <w:jc w:val="both"/>
              <w:rPr>
                <w:rFonts w:ascii="Garamond" w:eastAsia="Times New Roman" w:hAnsi="Garamond" w:cs="Times New Roman"/>
                <w:color w:val="000000"/>
                <w:lang w:eastAsia="it-IT"/>
              </w:rPr>
            </w:pPr>
            <w:r w:rsidRPr="00730284">
              <w:rPr>
                <w:rFonts w:ascii="Garamond" w:eastAsia="Times New Roman" w:hAnsi="Garamond" w:cs="Times New Roman"/>
                <w:color w:val="000000"/>
                <w:lang w:eastAsia="it-IT"/>
              </w:rPr>
              <w:t>qualora non siano qualificate per l’esecuzione, ricorrendo a una Stazione Appaltante qualificata, a una centrale di committenza qualificata o a soggetti aggregatori.</w:t>
            </w:r>
          </w:p>
        </w:tc>
        <w:tc>
          <w:tcPr>
            <w:tcW w:w="133" w:type="pct"/>
            <w:shd w:val="clear" w:color="auto" w:fill="auto"/>
            <w:vAlign w:val="center"/>
          </w:tcPr>
          <w:p w14:paraId="2DC6B72A" w14:textId="77777777" w:rsidR="00CA068F" w:rsidRPr="00023F3C" w:rsidRDefault="00CA068F" w:rsidP="00CA068F">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B6D92E9" w14:textId="77777777" w:rsidR="00CA068F" w:rsidRPr="00023F3C" w:rsidRDefault="00CA068F" w:rsidP="00CA068F">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5A9C783" w14:textId="77777777" w:rsidR="00CA068F" w:rsidRPr="00023F3C" w:rsidRDefault="00CA068F" w:rsidP="00CA068F">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D57E8C0" w14:textId="77777777" w:rsidR="00CA068F" w:rsidRPr="002741C7" w:rsidRDefault="00CA068F" w:rsidP="00CA068F">
            <w:pPr>
              <w:spacing w:after="0" w:line="240" w:lineRule="auto"/>
              <w:jc w:val="both"/>
              <w:rPr>
                <w:rFonts w:ascii="Garamond" w:eastAsia="Times New Roman" w:hAnsi="Garamond" w:cs="Times New Roman"/>
                <w:color w:val="000000"/>
                <w:lang w:eastAsia="it-IT"/>
              </w:rPr>
            </w:pPr>
          </w:p>
        </w:tc>
        <w:tc>
          <w:tcPr>
            <w:tcW w:w="662" w:type="pct"/>
            <w:vAlign w:val="center"/>
          </w:tcPr>
          <w:p w14:paraId="0088C07B" w14:textId="0F966AD9" w:rsidR="00CA068F" w:rsidRPr="005F6D36" w:rsidRDefault="005F6D36" w:rsidP="00CA068F">
            <w:pPr>
              <w:spacing w:after="0" w:line="240" w:lineRule="auto"/>
              <w:jc w:val="both"/>
              <w:rPr>
                <w:rFonts w:ascii="Garamond" w:eastAsia="Times New Roman" w:hAnsi="Garamond" w:cs="Times New Roman"/>
                <w:color w:val="2F5496" w:themeColor="accent1" w:themeShade="BF"/>
                <w:lang w:eastAsia="it-IT"/>
              </w:rPr>
            </w:pPr>
            <w:r w:rsidRPr="005F6D36">
              <w:rPr>
                <w:rFonts w:ascii="Garamond" w:eastAsia="Times New Roman" w:hAnsi="Garamond" w:cs="Times New Roman"/>
                <w:color w:val="2F5496" w:themeColor="accent1" w:themeShade="BF"/>
                <w:lang w:eastAsia="it-IT"/>
              </w:rPr>
              <w:t>N.B. A partire dal 31 gennaio 2024, le stazioni appaltanti non qualificate possono procedere all’acquisizione di lavori anche ricorrendo ad una stazione appaltante qualificata.</w:t>
            </w:r>
          </w:p>
        </w:tc>
        <w:tc>
          <w:tcPr>
            <w:tcW w:w="399" w:type="pct"/>
            <w:shd w:val="clear" w:color="auto" w:fill="auto"/>
            <w:vAlign w:val="center"/>
          </w:tcPr>
          <w:p w14:paraId="194CE10A" w14:textId="77777777" w:rsidR="00CA068F" w:rsidRPr="00023F3C" w:rsidRDefault="00CA068F" w:rsidP="00CA068F">
            <w:pPr>
              <w:spacing w:after="0" w:line="240" w:lineRule="auto"/>
              <w:jc w:val="both"/>
              <w:rPr>
                <w:rFonts w:ascii="Garamond" w:eastAsia="Times New Roman" w:hAnsi="Garamond" w:cs="Times New Roman"/>
                <w:b/>
                <w:bCs/>
                <w:color w:val="000000"/>
                <w:lang w:eastAsia="it-IT"/>
              </w:rPr>
            </w:pPr>
          </w:p>
        </w:tc>
        <w:tc>
          <w:tcPr>
            <w:tcW w:w="1151" w:type="pct"/>
            <w:vAlign w:val="center"/>
          </w:tcPr>
          <w:p w14:paraId="5EB015E6" w14:textId="77777777" w:rsidR="00CA068F" w:rsidRDefault="00CA068F" w:rsidP="00CA068F">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3561F282" w14:textId="77777777" w:rsidR="00CA068F" w:rsidRPr="00023F3C" w:rsidRDefault="00CA068F" w:rsidP="00CA068F">
            <w:pPr>
              <w:spacing w:after="0" w:line="240" w:lineRule="auto"/>
              <w:jc w:val="both"/>
              <w:rPr>
                <w:rFonts w:ascii="Garamond" w:eastAsia="Times New Roman" w:hAnsi="Garamond" w:cs="Times New Roman"/>
                <w:color w:val="000000"/>
                <w:lang w:eastAsia="it-IT"/>
              </w:rPr>
            </w:pPr>
          </w:p>
        </w:tc>
      </w:tr>
      <w:tr w:rsidR="00914D81" w:rsidRPr="00023F3C" w14:paraId="761B39E8" w14:textId="77777777" w:rsidTr="00B277D2">
        <w:trPr>
          <w:trHeight w:val="823"/>
        </w:trPr>
        <w:tc>
          <w:tcPr>
            <w:tcW w:w="354" w:type="pct"/>
            <w:shd w:val="clear" w:color="auto" w:fill="auto"/>
            <w:vAlign w:val="center"/>
          </w:tcPr>
          <w:p w14:paraId="2767C566" w14:textId="2B827B1D" w:rsidR="00F67FDA" w:rsidRDefault="00730284" w:rsidP="00F67F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371" w:type="pct"/>
            <w:shd w:val="clear" w:color="auto" w:fill="auto"/>
            <w:vAlign w:val="center"/>
          </w:tcPr>
          <w:p w14:paraId="530CB22B" w14:textId="5A9C9C4A" w:rsidR="00F67FDA" w:rsidRPr="00023F3C" w:rsidRDefault="00F67FDA" w:rsidP="0075525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EF1BFE">
              <w:rPr>
                <w:rFonts w:ascii="Garamond" w:eastAsia="Times New Roman" w:hAnsi="Garamond" w:cs="Times New Roman"/>
                <w:color w:val="000000"/>
                <w:lang w:eastAsia="it-IT"/>
              </w:rPr>
              <w:t>Stazione Appaltante</w:t>
            </w:r>
            <w:r w:rsidRPr="00023F3C">
              <w:rPr>
                <w:rFonts w:ascii="Garamond" w:eastAsia="Times New Roman" w:hAnsi="Garamond" w:cs="Times New Roman"/>
                <w:color w:val="000000"/>
                <w:lang w:eastAsia="it-IT"/>
              </w:rPr>
              <w:t xml:space="preserve"> ha nominato il Responsabile </w:t>
            </w:r>
            <w:r>
              <w:rPr>
                <w:rFonts w:ascii="Garamond" w:eastAsia="Times New Roman" w:hAnsi="Garamond" w:cs="Times New Roman"/>
                <w:color w:val="000000"/>
                <w:lang w:eastAsia="it-IT"/>
              </w:rPr>
              <w:t>Unico di Progetto</w:t>
            </w:r>
            <w:r w:rsidR="008F73B1">
              <w:rPr>
                <w:rFonts w:ascii="Garamond" w:eastAsia="Times New Roman" w:hAnsi="Garamond" w:cs="Times New Roman"/>
                <w:color w:val="000000"/>
                <w:lang w:eastAsia="it-IT"/>
              </w:rPr>
              <w:t xml:space="preserve"> (“RUP”),</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ai sensi dell’art. </w:t>
            </w:r>
            <w:r>
              <w:rPr>
                <w:rFonts w:ascii="Garamond" w:eastAsia="Times New Roman" w:hAnsi="Garamond" w:cs="Times New Roman"/>
                <w:color w:val="000000"/>
                <w:lang w:eastAsia="it-IT"/>
              </w:rPr>
              <w:t>15</w:t>
            </w:r>
            <w:r w:rsidRPr="00023F3C">
              <w:rPr>
                <w:rFonts w:ascii="Garamond" w:eastAsia="Times New Roman" w:hAnsi="Garamond" w:cs="Times New Roman"/>
                <w:color w:val="000000"/>
                <w:lang w:eastAsia="it-IT"/>
              </w:rPr>
              <w:t xml:space="preserve"> del </w:t>
            </w:r>
            <w:r w:rsidR="008F73B1">
              <w:rPr>
                <w:rFonts w:ascii="Garamond" w:eastAsia="Times New Roman" w:hAnsi="Garamond" w:cs="Times New Roman"/>
                <w:color w:val="000000"/>
                <w:lang w:eastAsia="it-IT"/>
              </w:rPr>
              <w:t>D</w:t>
            </w:r>
            <w:r w:rsidRPr="00023F3C">
              <w:rPr>
                <w:rFonts w:ascii="Garamond" w:eastAsia="Times New Roman" w:hAnsi="Garamond" w:cs="Times New Roman"/>
                <w:color w:val="000000"/>
                <w:lang w:eastAsia="it-IT"/>
              </w:rPr>
              <w:t>.</w:t>
            </w:r>
            <w:r w:rsidR="008F73B1">
              <w:rPr>
                <w:rFonts w:ascii="Garamond" w:eastAsia="Times New Roman" w:hAnsi="Garamond" w:cs="Times New Roman"/>
                <w:color w:val="000000"/>
                <w:lang w:eastAsia="it-IT"/>
              </w:rPr>
              <w:t xml:space="preserve"> L</w:t>
            </w:r>
            <w:r w:rsidRPr="00023F3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tc>
        <w:tc>
          <w:tcPr>
            <w:tcW w:w="133" w:type="pct"/>
            <w:shd w:val="clear" w:color="auto" w:fill="auto"/>
            <w:vAlign w:val="center"/>
          </w:tcPr>
          <w:p w14:paraId="291C0CD7"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4255931"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7DB7269"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8C0F62B" w14:textId="77777777" w:rsidR="00F67FDA" w:rsidRPr="002741C7" w:rsidRDefault="00F67FDA" w:rsidP="0075525B">
            <w:pPr>
              <w:spacing w:after="0" w:line="240" w:lineRule="auto"/>
              <w:jc w:val="both"/>
              <w:rPr>
                <w:rFonts w:ascii="Garamond" w:eastAsia="Times New Roman" w:hAnsi="Garamond" w:cs="Times New Roman"/>
                <w:color w:val="000000"/>
                <w:lang w:eastAsia="it-IT"/>
              </w:rPr>
            </w:pPr>
          </w:p>
        </w:tc>
        <w:tc>
          <w:tcPr>
            <w:tcW w:w="662" w:type="pct"/>
          </w:tcPr>
          <w:p w14:paraId="436F0B3A" w14:textId="77777777"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7DB0A928" w14:textId="2EDF3132" w:rsidR="00F67FDA" w:rsidRPr="00023F3C" w:rsidRDefault="00F67FDA" w:rsidP="0075525B">
            <w:pPr>
              <w:spacing w:after="0" w:line="240" w:lineRule="auto"/>
              <w:jc w:val="both"/>
              <w:rPr>
                <w:rFonts w:ascii="Garamond" w:eastAsia="Times New Roman" w:hAnsi="Garamond" w:cs="Times New Roman"/>
                <w:b/>
                <w:bCs/>
                <w:color w:val="000000"/>
                <w:lang w:eastAsia="it-IT"/>
              </w:rPr>
            </w:pPr>
          </w:p>
        </w:tc>
        <w:tc>
          <w:tcPr>
            <w:tcW w:w="1151" w:type="pct"/>
            <w:vAlign w:val="center"/>
          </w:tcPr>
          <w:p w14:paraId="7D56660E" w14:textId="77777777" w:rsidR="00F67FDA" w:rsidRDefault="00F67FDA" w:rsidP="0075525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Atto di nomina del RUP</w:t>
            </w:r>
          </w:p>
          <w:p w14:paraId="7696111B" w14:textId="1EFC26F5" w:rsidR="00F67FDA" w:rsidRPr="00023F3C" w:rsidRDefault="00F67FDA" w:rsidP="0075525B">
            <w:pPr>
              <w:spacing w:after="0" w:line="240" w:lineRule="auto"/>
              <w:jc w:val="both"/>
              <w:rPr>
                <w:rFonts w:ascii="Garamond" w:eastAsia="Times New Roman" w:hAnsi="Garamond" w:cs="Times New Roman"/>
                <w:color w:val="000000"/>
                <w:lang w:eastAsia="it-IT"/>
              </w:rPr>
            </w:pPr>
          </w:p>
        </w:tc>
      </w:tr>
      <w:tr w:rsidR="00B15A0E" w:rsidRPr="00023F3C" w14:paraId="2C7DE4B9" w14:textId="77777777" w:rsidTr="001E17D2">
        <w:trPr>
          <w:trHeight w:val="639"/>
        </w:trPr>
        <w:tc>
          <w:tcPr>
            <w:tcW w:w="354" w:type="pct"/>
            <w:shd w:val="clear" w:color="auto" w:fill="auto"/>
            <w:vAlign w:val="center"/>
          </w:tcPr>
          <w:p w14:paraId="0D89784A" w14:textId="3E367202" w:rsidR="00B15A0E" w:rsidRDefault="00730284" w:rsidP="00B15A0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371" w:type="pct"/>
            <w:shd w:val="clear" w:color="auto" w:fill="auto"/>
            <w:vAlign w:val="center"/>
          </w:tcPr>
          <w:p w14:paraId="6DD85DDC" w14:textId="4D678123" w:rsidR="00B15A0E" w:rsidRPr="00023F3C" w:rsidRDefault="00B15A0E" w:rsidP="00B15A0E">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È stato verificato che il RUP non si trovi nelle condizioni di conflitto di interesse di cui all'art. 16 del D. Lgs. 36/2023?</w:t>
            </w:r>
          </w:p>
        </w:tc>
        <w:tc>
          <w:tcPr>
            <w:tcW w:w="133" w:type="pct"/>
            <w:shd w:val="clear" w:color="auto" w:fill="auto"/>
            <w:vAlign w:val="center"/>
          </w:tcPr>
          <w:p w14:paraId="2095BCDB" w14:textId="77777777" w:rsidR="00B15A0E" w:rsidRPr="00023F3C" w:rsidRDefault="00B15A0E" w:rsidP="00B15A0E">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B7AE1D2" w14:textId="77777777" w:rsidR="00B15A0E" w:rsidRPr="00023F3C" w:rsidRDefault="00B15A0E" w:rsidP="00B15A0E">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435FAF9" w14:textId="77777777" w:rsidR="00B15A0E" w:rsidRPr="00023F3C" w:rsidRDefault="00B15A0E" w:rsidP="00B15A0E">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5E9F973" w14:textId="77777777" w:rsidR="00B15A0E" w:rsidRPr="002741C7" w:rsidRDefault="00B15A0E" w:rsidP="00B15A0E">
            <w:pPr>
              <w:spacing w:after="0" w:line="240" w:lineRule="auto"/>
              <w:jc w:val="both"/>
              <w:rPr>
                <w:rFonts w:ascii="Garamond" w:eastAsia="Times New Roman" w:hAnsi="Garamond" w:cs="Times New Roman"/>
                <w:color w:val="000000"/>
                <w:lang w:eastAsia="it-IT"/>
              </w:rPr>
            </w:pPr>
          </w:p>
        </w:tc>
        <w:tc>
          <w:tcPr>
            <w:tcW w:w="662" w:type="pct"/>
            <w:vAlign w:val="center"/>
          </w:tcPr>
          <w:p w14:paraId="36738495" w14:textId="77777777" w:rsidR="00B15A0E" w:rsidRPr="00023F3C" w:rsidRDefault="00B15A0E" w:rsidP="00B15A0E">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3C138632" w14:textId="1988F6DF" w:rsidR="00B15A0E" w:rsidRPr="00023F3C" w:rsidRDefault="00B15A0E" w:rsidP="00B15A0E">
            <w:pPr>
              <w:spacing w:after="0" w:line="240" w:lineRule="auto"/>
              <w:jc w:val="both"/>
              <w:rPr>
                <w:rFonts w:ascii="Garamond" w:eastAsia="Times New Roman" w:hAnsi="Garamond" w:cs="Times New Roman"/>
                <w:b/>
                <w:bCs/>
                <w:color w:val="000000"/>
                <w:lang w:eastAsia="it-IT"/>
              </w:rPr>
            </w:pPr>
          </w:p>
        </w:tc>
        <w:tc>
          <w:tcPr>
            <w:tcW w:w="1151" w:type="pct"/>
            <w:vAlign w:val="center"/>
          </w:tcPr>
          <w:p w14:paraId="16D1E885" w14:textId="77777777" w:rsidR="00B15A0E" w:rsidRPr="002A5289" w:rsidRDefault="00B15A0E" w:rsidP="00B15A0E">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 Atto di nomina del RUP</w:t>
            </w:r>
          </w:p>
          <w:p w14:paraId="062AA162" w14:textId="0DD1F0C4" w:rsidR="00B15A0E" w:rsidRPr="00023F3C" w:rsidRDefault="00B15A0E" w:rsidP="00B15A0E">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  Decisione di contrarre</w:t>
            </w:r>
          </w:p>
        </w:tc>
      </w:tr>
      <w:tr w:rsidR="00914D81" w:rsidRPr="00023F3C" w14:paraId="13663BCB" w14:textId="77777777" w:rsidTr="00B277D2">
        <w:trPr>
          <w:trHeight w:val="823"/>
        </w:trPr>
        <w:tc>
          <w:tcPr>
            <w:tcW w:w="354" w:type="pct"/>
            <w:shd w:val="clear" w:color="auto" w:fill="auto"/>
            <w:vAlign w:val="center"/>
          </w:tcPr>
          <w:p w14:paraId="5C834BBA" w14:textId="7B2EFF94" w:rsidR="00F67FDA" w:rsidRDefault="00730284" w:rsidP="00F67F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371" w:type="pct"/>
            <w:shd w:val="clear" w:color="auto" w:fill="auto"/>
            <w:vAlign w:val="center"/>
          </w:tcPr>
          <w:p w14:paraId="33FD006D" w14:textId="2DC15139" w:rsidR="00F67FDA" w:rsidRPr="00BB06EA" w:rsidRDefault="00F67FDA" w:rsidP="0061370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sia stato nominato il </w:t>
            </w:r>
            <w:r w:rsidR="00011C1F">
              <w:rPr>
                <w:rFonts w:ascii="Garamond" w:eastAsia="Times New Roman" w:hAnsi="Garamond" w:cs="Times New Roman"/>
                <w:color w:val="000000"/>
                <w:lang w:eastAsia="it-IT"/>
              </w:rPr>
              <w:t>DEC</w:t>
            </w:r>
            <w:r>
              <w:rPr>
                <w:rFonts w:ascii="Garamond" w:eastAsia="Times New Roman" w:hAnsi="Garamond" w:cs="Times New Roman"/>
                <w:color w:val="000000"/>
                <w:lang w:eastAsia="it-IT"/>
              </w:rPr>
              <w:t>, ricorrono le ipotesi e i presupposti stabiliti dall’art. 114, comma 8</w:t>
            </w:r>
            <w:r w:rsidR="00A2477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 </w:t>
            </w:r>
            <w:r w:rsidR="00B15A0E">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B15A0E">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w:t>
            </w:r>
            <w:r w:rsidR="00A2477D">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36/2023?</w:t>
            </w:r>
          </w:p>
        </w:tc>
        <w:tc>
          <w:tcPr>
            <w:tcW w:w="133" w:type="pct"/>
            <w:shd w:val="clear" w:color="auto" w:fill="auto"/>
            <w:vAlign w:val="center"/>
          </w:tcPr>
          <w:p w14:paraId="0C0637FB" w14:textId="77777777" w:rsidR="00F67FDA" w:rsidRPr="00023F3C" w:rsidRDefault="00F67FDA" w:rsidP="0061370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59E5E9D" w14:textId="77777777" w:rsidR="00F67FDA" w:rsidRPr="00023F3C" w:rsidRDefault="00F67FDA" w:rsidP="00613706">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7A0A35A" w14:textId="77777777" w:rsidR="00F67FDA" w:rsidRPr="00023F3C" w:rsidRDefault="00F67FDA" w:rsidP="0061370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8A75FE7" w14:textId="77777777" w:rsidR="00F67FDA" w:rsidRPr="002741C7" w:rsidRDefault="00F67FDA" w:rsidP="00613706">
            <w:pPr>
              <w:spacing w:after="0" w:line="240" w:lineRule="auto"/>
              <w:jc w:val="both"/>
              <w:rPr>
                <w:rFonts w:ascii="Garamond" w:eastAsia="Times New Roman" w:hAnsi="Garamond" w:cs="Times New Roman"/>
                <w:color w:val="000000"/>
                <w:lang w:eastAsia="it-IT"/>
              </w:rPr>
            </w:pPr>
          </w:p>
        </w:tc>
        <w:tc>
          <w:tcPr>
            <w:tcW w:w="662" w:type="pct"/>
          </w:tcPr>
          <w:p w14:paraId="5DAE1799" w14:textId="77777777" w:rsidR="00F67FDA" w:rsidRPr="00023F3C" w:rsidRDefault="00F67FDA" w:rsidP="00613706">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08170134" w14:textId="7AE927F0" w:rsidR="00F67FDA" w:rsidRPr="00023F3C" w:rsidRDefault="00F67FDA" w:rsidP="00613706">
            <w:pPr>
              <w:spacing w:after="0" w:line="240" w:lineRule="auto"/>
              <w:jc w:val="both"/>
              <w:rPr>
                <w:rFonts w:ascii="Garamond" w:eastAsia="Times New Roman" w:hAnsi="Garamond" w:cs="Times New Roman"/>
                <w:b/>
                <w:bCs/>
                <w:color w:val="000000"/>
                <w:lang w:eastAsia="it-IT"/>
              </w:rPr>
            </w:pPr>
          </w:p>
        </w:tc>
        <w:tc>
          <w:tcPr>
            <w:tcW w:w="1151" w:type="pct"/>
            <w:vAlign w:val="center"/>
          </w:tcPr>
          <w:p w14:paraId="7595EB06" w14:textId="36AEAEB9" w:rsidR="00F67FDA" w:rsidRPr="00023F3C" w:rsidRDefault="00F67FDA" w:rsidP="0061370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2D712A" w:rsidRPr="00023F3C" w14:paraId="583172F2" w14:textId="77777777" w:rsidTr="00914D81">
        <w:trPr>
          <w:trHeight w:val="823"/>
        </w:trPr>
        <w:tc>
          <w:tcPr>
            <w:tcW w:w="354" w:type="pct"/>
            <w:shd w:val="clear" w:color="auto" w:fill="B8CCE4"/>
            <w:vAlign w:val="center"/>
          </w:tcPr>
          <w:p w14:paraId="34CE08B3" w14:textId="4067EEDC" w:rsidR="002D712A" w:rsidRPr="002D712A" w:rsidRDefault="002D712A" w:rsidP="00F67FDA">
            <w:pPr>
              <w:spacing w:after="0" w:line="240" w:lineRule="auto"/>
              <w:jc w:val="center"/>
              <w:rPr>
                <w:rFonts w:ascii="Garamond" w:eastAsia="Times New Roman" w:hAnsi="Garamond" w:cs="Times New Roman"/>
                <w:b/>
                <w:bCs/>
                <w:color w:val="000000"/>
                <w:lang w:eastAsia="it-IT"/>
              </w:rPr>
            </w:pPr>
            <w:r w:rsidRPr="002D712A">
              <w:rPr>
                <w:rFonts w:ascii="Garamond" w:eastAsia="Times New Roman" w:hAnsi="Garamond" w:cs="Times New Roman"/>
                <w:b/>
                <w:bCs/>
                <w:color w:val="000000"/>
                <w:lang w:eastAsia="it-IT"/>
              </w:rPr>
              <w:t>B</w:t>
            </w:r>
          </w:p>
        </w:tc>
        <w:tc>
          <w:tcPr>
            <w:tcW w:w="4646" w:type="pct"/>
            <w:gridSpan w:val="8"/>
            <w:shd w:val="clear" w:color="auto" w:fill="B8CCE4"/>
            <w:vAlign w:val="center"/>
          </w:tcPr>
          <w:p w14:paraId="1DA82F76" w14:textId="604E8C44" w:rsidR="002D712A" w:rsidRPr="002D712A" w:rsidRDefault="002D712A" w:rsidP="002D712A">
            <w:pPr>
              <w:spacing w:after="0" w:line="240" w:lineRule="auto"/>
              <w:jc w:val="center"/>
              <w:rPr>
                <w:rFonts w:ascii="Garamond" w:eastAsia="Times New Roman" w:hAnsi="Garamond" w:cs="Times New Roman"/>
                <w:b/>
                <w:bCs/>
                <w:color w:val="000000"/>
                <w:lang w:eastAsia="it-IT"/>
              </w:rPr>
            </w:pPr>
            <w:r w:rsidRPr="002D712A">
              <w:rPr>
                <w:rFonts w:ascii="Garamond" w:eastAsia="Times New Roman" w:hAnsi="Garamond" w:cs="Times New Roman"/>
                <w:b/>
                <w:bCs/>
                <w:color w:val="000000"/>
                <w:lang w:eastAsia="it-IT"/>
              </w:rPr>
              <w:t>Progettazione</w:t>
            </w:r>
          </w:p>
        </w:tc>
      </w:tr>
      <w:tr w:rsidR="00914D81" w:rsidRPr="00023F3C" w14:paraId="4B4AEE4B" w14:textId="77777777" w:rsidTr="00B277D2">
        <w:trPr>
          <w:trHeight w:val="923"/>
        </w:trPr>
        <w:tc>
          <w:tcPr>
            <w:tcW w:w="354" w:type="pct"/>
            <w:shd w:val="clear" w:color="auto" w:fill="auto"/>
            <w:vAlign w:val="center"/>
          </w:tcPr>
          <w:p w14:paraId="7CD16D67" w14:textId="199BB980" w:rsidR="00F67FDA" w:rsidRDefault="00860325" w:rsidP="00F67FD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371" w:type="pct"/>
            <w:shd w:val="clear" w:color="auto" w:fill="auto"/>
            <w:vAlign w:val="center"/>
          </w:tcPr>
          <w:p w14:paraId="095EF6CA" w14:textId="0CF9A9B4" w:rsidR="00F67FDA" w:rsidRPr="00023F3C" w:rsidDel="00A21198" w:rsidRDefault="00F67FDA" w:rsidP="00EB59A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 xml:space="preserve">stato definito il progetto, contenente gli elementi di cui all’art. </w:t>
            </w:r>
            <w:r>
              <w:rPr>
                <w:rFonts w:ascii="Garamond" w:eastAsia="Times New Roman" w:hAnsi="Garamond" w:cs="Times New Roman"/>
                <w:color w:val="000000"/>
                <w:lang w:eastAsia="it-IT"/>
              </w:rPr>
              <w:t>41</w:t>
            </w:r>
            <w:r w:rsidRPr="00A21198">
              <w:rPr>
                <w:rFonts w:ascii="Garamond" w:eastAsia="Times New Roman" w:hAnsi="Garamond" w:cs="Times New Roman"/>
                <w:color w:val="000000"/>
                <w:lang w:eastAsia="it-IT"/>
              </w:rPr>
              <w:t xml:space="preserve"> del </w:t>
            </w:r>
            <w:r w:rsidR="00EB59A1">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EB59A1">
              <w:rPr>
                <w:rFonts w:ascii="Garamond" w:eastAsia="Times New Roman" w:hAnsi="Garamond" w:cs="Times New Roman"/>
                <w:color w:val="000000"/>
                <w:lang w:eastAsia="it-IT"/>
              </w:rPr>
              <w:t xml:space="preserve"> L</w:t>
            </w:r>
            <w:r w:rsidRPr="00A21198">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p>
        </w:tc>
        <w:tc>
          <w:tcPr>
            <w:tcW w:w="133" w:type="pct"/>
            <w:shd w:val="clear" w:color="auto" w:fill="auto"/>
            <w:vAlign w:val="center"/>
          </w:tcPr>
          <w:p w14:paraId="1B2E6C4A" w14:textId="77777777" w:rsidR="00F67FDA" w:rsidRPr="00023F3C" w:rsidRDefault="00F67FDA" w:rsidP="00EB59A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EFD229B" w14:textId="77777777" w:rsidR="00F67FDA" w:rsidRPr="00023F3C" w:rsidRDefault="00F67FDA" w:rsidP="00EB59A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0257857" w14:textId="77777777" w:rsidR="00F67FDA" w:rsidRPr="00023F3C" w:rsidRDefault="00F67FDA" w:rsidP="00EB59A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88667E4" w14:textId="77777777" w:rsidR="00F67FDA" w:rsidRPr="00023F3C" w:rsidRDefault="00F67FDA" w:rsidP="00EB59A1">
            <w:pPr>
              <w:spacing w:after="0" w:line="240" w:lineRule="auto"/>
              <w:jc w:val="both"/>
              <w:rPr>
                <w:rFonts w:ascii="Garamond" w:eastAsia="Times New Roman" w:hAnsi="Garamond" w:cs="Times New Roman"/>
                <w:color w:val="000000"/>
                <w:lang w:eastAsia="it-IT"/>
              </w:rPr>
            </w:pPr>
          </w:p>
        </w:tc>
        <w:tc>
          <w:tcPr>
            <w:tcW w:w="662" w:type="pct"/>
          </w:tcPr>
          <w:p w14:paraId="52AD8925" w14:textId="77777777" w:rsidR="00F67FDA" w:rsidRPr="00C04229" w:rsidRDefault="00F67FDA" w:rsidP="00EB59A1">
            <w:pPr>
              <w:spacing w:after="0" w:line="240" w:lineRule="auto"/>
              <w:jc w:val="both"/>
              <w:rPr>
                <w:rFonts w:ascii="Garamond" w:eastAsia="Times New Roman" w:hAnsi="Garamond" w:cs="Times New Roman"/>
                <w:color w:val="000000"/>
                <w:lang w:eastAsia="it-IT"/>
              </w:rPr>
            </w:pPr>
          </w:p>
        </w:tc>
        <w:tc>
          <w:tcPr>
            <w:tcW w:w="399" w:type="pct"/>
            <w:shd w:val="clear" w:color="auto" w:fill="auto"/>
            <w:vAlign w:val="center"/>
          </w:tcPr>
          <w:p w14:paraId="474C57D7" w14:textId="51375465" w:rsidR="00F67FDA" w:rsidRPr="00C04229" w:rsidRDefault="00F67FDA" w:rsidP="00EB59A1">
            <w:pPr>
              <w:spacing w:after="0" w:line="240" w:lineRule="auto"/>
              <w:jc w:val="both"/>
              <w:rPr>
                <w:rFonts w:ascii="Garamond" w:eastAsia="Times New Roman" w:hAnsi="Garamond" w:cs="Times New Roman"/>
                <w:color w:val="000000"/>
                <w:lang w:eastAsia="it-IT"/>
              </w:rPr>
            </w:pPr>
          </w:p>
        </w:tc>
        <w:tc>
          <w:tcPr>
            <w:tcW w:w="1151" w:type="pct"/>
            <w:vAlign w:val="center"/>
          </w:tcPr>
          <w:p w14:paraId="670E6175" w14:textId="6AA3CDE5" w:rsidR="00F67FDA" w:rsidRPr="00A21198" w:rsidRDefault="00F67FDA" w:rsidP="00EB59A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63598DCE" w14:textId="77F7AC92" w:rsidR="00F67FDA" w:rsidRPr="00A21198" w:rsidRDefault="00F67FDA" w:rsidP="00EB59A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7DA2029B" w14:textId="77777777" w:rsidR="00F67FDA" w:rsidDel="00A21198" w:rsidRDefault="00F67FDA" w:rsidP="00EB59A1">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Capitolato Tecnico </w:t>
            </w:r>
          </w:p>
        </w:tc>
      </w:tr>
      <w:tr w:rsidR="00031F31" w:rsidRPr="00023F3C" w14:paraId="5EB9E627" w14:textId="77777777" w:rsidTr="00B277D2">
        <w:trPr>
          <w:trHeight w:val="1417"/>
        </w:trPr>
        <w:tc>
          <w:tcPr>
            <w:tcW w:w="354" w:type="pct"/>
            <w:shd w:val="clear" w:color="auto" w:fill="auto"/>
            <w:vAlign w:val="center"/>
          </w:tcPr>
          <w:p w14:paraId="14A48200" w14:textId="0D0FB426" w:rsidR="00031F31" w:rsidRPr="00B13066"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371" w:type="pct"/>
            <w:shd w:val="clear" w:color="auto" w:fill="auto"/>
            <w:vAlign w:val="center"/>
          </w:tcPr>
          <w:p w14:paraId="061BE9CF" w14:textId="5416B44E" w:rsidR="00031F31" w:rsidRPr="00B13066" w:rsidRDefault="00031F31" w:rsidP="00031F31">
            <w:pPr>
              <w:spacing w:after="0" w:line="240" w:lineRule="auto"/>
              <w:jc w:val="both"/>
              <w:rPr>
                <w:rFonts w:ascii="Garamond" w:eastAsia="Times New Roman" w:hAnsi="Garamond" w:cs="Times New Roman"/>
                <w:color w:val="000000"/>
                <w:lang w:eastAsia="it-IT"/>
              </w:rPr>
            </w:pPr>
            <w:r w:rsidRPr="00B13066">
              <w:rPr>
                <w:rFonts w:ascii="Garamond" w:eastAsia="Times New Roman" w:hAnsi="Garamond" w:cs="Times New Roman"/>
                <w:color w:val="000000"/>
                <w:lang w:eastAsia="it-IT"/>
              </w:rPr>
              <w:t>È stata rilevata la congruità dei prezzi al fine di individuare il prezzo posto a base di gara?</w:t>
            </w:r>
          </w:p>
        </w:tc>
        <w:tc>
          <w:tcPr>
            <w:tcW w:w="133" w:type="pct"/>
            <w:shd w:val="clear" w:color="auto" w:fill="auto"/>
            <w:vAlign w:val="center"/>
          </w:tcPr>
          <w:p w14:paraId="77E55953" w14:textId="77777777" w:rsidR="00031F31" w:rsidRPr="00B13066"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4A0CF05" w14:textId="77777777" w:rsidR="00031F31" w:rsidRPr="00B13066"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832D50D"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1240C37" w14:textId="77777777" w:rsidR="00031F31" w:rsidRPr="00023F3C"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7DF1B53C" w14:textId="65622BC4" w:rsidR="00031F31" w:rsidRPr="00C04229" w:rsidRDefault="00031F31" w:rsidP="00031F31">
            <w:pPr>
              <w:spacing w:after="0" w:line="240" w:lineRule="auto"/>
              <w:jc w:val="both"/>
              <w:rPr>
                <w:rFonts w:ascii="Garamond" w:eastAsia="Times New Roman" w:hAnsi="Garamond" w:cs="Times New Roman"/>
                <w:color w:val="000000"/>
                <w:lang w:eastAsia="it-IT"/>
              </w:rPr>
            </w:pPr>
          </w:p>
        </w:tc>
        <w:tc>
          <w:tcPr>
            <w:tcW w:w="399" w:type="pct"/>
            <w:shd w:val="clear" w:color="auto" w:fill="auto"/>
            <w:vAlign w:val="center"/>
          </w:tcPr>
          <w:p w14:paraId="6A3A82AA" w14:textId="14C355BB" w:rsidR="00031F31" w:rsidRPr="00C04229" w:rsidRDefault="00031F31" w:rsidP="00031F31">
            <w:pPr>
              <w:spacing w:after="0" w:line="240" w:lineRule="auto"/>
              <w:jc w:val="both"/>
              <w:rPr>
                <w:rFonts w:ascii="Garamond" w:eastAsia="Times New Roman" w:hAnsi="Garamond" w:cs="Times New Roman"/>
                <w:color w:val="000000"/>
                <w:lang w:eastAsia="it-IT"/>
              </w:rPr>
            </w:pPr>
          </w:p>
          <w:p w14:paraId="0EF5988A" w14:textId="75D506F8" w:rsidR="00031F31" w:rsidRPr="00C04229" w:rsidRDefault="00031F31" w:rsidP="00031F31">
            <w:pPr>
              <w:spacing w:after="0" w:line="240" w:lineRule="auto"/>
              <w:jc w:val="both"/>
              <w:rPr>
                <w:rFonts w:ascii="Garamond" w:eastAsia="Times New Roman" w:hAnsi="Garamond" w:cs="Times New Roman"/>
                <w:color w:val="000000"/>
                <w:lang w:eastAsia="it-IT"/>
              </w:rPr>
            </w:pPr>
          </w:p>
        </w:tc>
        <w:tc>
          <w:tcPr>
            <w:tcW w:w="1151" w:type="pct"/>
            <w:vAlign w:val="center"/>
          </w:tcPr>
          <w:p w14:paraId="7EE991AA" w14:textId="291EA874"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511971D8" w14:textId="77777777"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6FE27BF2" w14:textId="2CC0ADFB" w:rsidR="00031F31" w:rsidRPr="00A21198" w:rsidRDefault="00031F31" w:rsidP="00031F31">
            <w:pPr>
              <w:spacing w:after="0" w:line="240" w:lineRule="auto"/>
              <w:jc w:val="both"/>
              <w:rPr>
                <w:rFonts w:ascii="Garamond" w:eastAsia="Times New Roman" w:hAnsi="Garamond" w:cs="Times New Roman"/>
                <w:color w:val="000000"/>
                <w:lang w:eastAsia="it-IT"/>
              </w:rPr>
            </w:pPr>
            <w:r w:rsidRPr="00516787">
              <w:rPr>
                <w:rFonts w:ascii="Garamond" w:eastAsia="Times New Roman" w:hAnsi="Garamond" w:cs="Times New Roman"/>
                <w:color w:val="000000"/>
                <w:lang w:eastAsia="it-IT"/>
              </w:rPr>
              <w:t>• Lettera di invito</w:t>
            </w:r>
          </w:p>
        </w:tc>
      </w:tr>
      <w:tr w:rsidR="00031F31" w:rsidRPr="00023F3C" w14:paraId="130ECFF5" w14:textId="77777777" w:rsidTr="00083C45">
        <w:trPr>
          <w:trHeight w:val="841"/>
        </w:trPr>
        <w:tc>
          <w:tcPr>
            <w:tcW w:w="354" w:type="pct"/>
            <w:shd w:val="clear" w:color="auto" w:fill="B8CCE4"/>
            <w:vAlign w:val="center"/>
          </w:tcPr>
          <w:p w14:paraId="6AFCC8CB" w14:textId="52427451" w:rsidR="00031F31" w:rsidRPr="00F22BDA" w:rsidRDefault="00031F31" w:rsidP="00031F31">
            <w:pPr>
              <w:spacing w:after="0" w:line="240" w:lineRule="auto"/>
              <w:jc w:val="center"/>
              <w:rPr>
                <w:rFonts w:ascii="Garamond" w:eastAsia="Times New Roman" w:hAnsi="Garamond" w:cs="Times New Roman"/>
                <w:b/>
                <w:bCs/>
                <w:color w:val="000000"/>
                <w:lang w:eastAsia="it-IT"/>
              </w:rPr>
            </w:pPr>
            <w:r w:rsidRPr="00F22BDA">
              <w:rPr>
                <w:rFonts w:ascii="Garamond" w:eastAsia="Times New Roman" w:hAnsi="Garamond" w:cs="Times New Roman"/>
                <w:b/>
                <w:bCs/>
                <w:color w:val="000000"/>
                <w:lang w:eastAsia="it-IT"/>
              </w:rPr>
              <w:t>C</w:t>
            </w:r>
          </w:p>
        </w:tc>
        <w:tc>
          <w:tcPr>
            <w:tcW w:w="4646" w:type="pct"/>
            <w:gridSpan w:val="8"/>
            <w:shd w:val="clear" w:color="auto" w:fill="B8CCE4"/>
            <w:vAlign w:val="center"/>
          </w:tcPr>
          <w:p w14:paraId="041775CC" w14:textId="5CC236C8" w:rsidR="00031F31" w:rsidRPr="00F22BDA" w:rsidRDefault="00031F31" w:rsidP="00031F31">
            <w:pPr>
              <w:spacing w:after="0" w:line="240" w:lineRule="auto"/>
              <w:jc w:val="center"/>
              <w:rPr>
                <w:rFonts w:ascii="Garamond" w:eastAsia="Times New Roman" w:hAnsi="Garamond" w:cs="Times New Roman"/>
                <w:b/>
                <w:bCs/>
                <w:color w:val="000000"/>
                <w:lang w:eastAsia="it-IT"/>
              </w:rPr>
            </w:pPr>
            <w:r w:rsidRPr="00F22BDA">
              <w:rPr>
                <w:rFonts w:ascii="Garamond" w:eastAsia="Times New Roman" w:hAnsi="Garamond" w:cs="Times New Roman"/>
                <w:b/>
                <w:bCs/>
                <w:color w:val="000000"/>
                <w:lang w:eastAsia="it-IT"/>
              </w:rPr>
              <w:t>Decisione di contrarre</w:t>
            </w:r>
          </w:p>
        </w:tc>
      </w:tr>
      <w:tr w:rsidR="00031F31" w:rsidRPr="00023F3C" w14:paraId="7E1EEA06" w14:textId="77777777" w:rsidTr="00B277D2">
        <w:trPr>
          <w:trHeight w:val="923"/>
        </w:trPr>
        <w:tc>
          <w:tcPr>
            <w:tcW w:w="354" w:type="pct"/>
            <w:shd w:val="clear" w:color="auto" w:fill="auto"/>
            <w:vAlign w:val="center"/>
          </w:tcPr>
          <w:p w14:paraId="7D56B715" w14:textId="1EE5249B" w:rsidR="00031F31" w:rsidRPr="00023F3C"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371" w:type="pct"/>
            <w:shd w:val="clear" w:color="auto" w:fill="auto"/>
            <w:vAlign w:val="center"/>
          </w:tcPr>
          <w:p w14:paraId="49E75D83" w14:textId="087D4588" w:rsidR="00031F31" w:rsidRPr="004874BD" w:rsidRDefault="00031F31" w:rsidP="00031F3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decisione di contrarre</w:t>
            </w:r>
            <w:r w:rsidRPr="00023F3C">
              <w:rPr>
                <w:rFonts w:ascii="Garamond" w:eastAsia="Times New Roman" w:hAnsi="Garamond" w:cs="Times New Roman"/>
                <w:color w:val="000000"/>
                <w:lang w:eastAsia="it-IT"/>
              </w:rPr>
              <w:t xml:space="preserve">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essenziali richieste dal D. Lgs. 36/2023 (art. 17 del D. Lgs. 36/2023)</w:t>
            </w:r>
            <w:r w:rsidRPr="00023F3C">
              <w:rPr>
                <w:rFonts w:ascii="Garamond" w:eastAsia="Times New Roman" w:hAnsi="Garamond" w:cs="Times New Roman"/>
                <w:color w:val="000000"/>
                <w:lang w:eastAsia="it-IT"/>
              </w:rPr>
              <w:t>?</w:t>
            </w:r>
          </w:p>
        </w:tc>
        <w:tc>
          <w:tcPr>
            <w:tcW w:w="133" w:type="pct"/>
            <w:shd w:val="clear" w:color="auto" w:fill="auto"/>
            <w:vAlign w:val="center"/>
          </w:tcPr>
          <w:p w14:paraId="4BFB428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1353BE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2469E4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A32A91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52F7E5D7" w14:textId="77777777" w:rsidR="00031F31" w:rsidRPr="004B05A3" w:rsidRDefault="00031F31" w:rsidP="00031F31">
            <w:pPr>
              <w:spacing w:after="0" w:line="240" w:lineRule="auto"/>
              <w:jc w:val="both"/>
              <w:rPr>
                <w:rFonts w:ascii="Garamond" w:eastAsia="Times New Roman" w:hAnsi="Garamond" w:cs="Times New Roman"/>
                <w:color w:val="000000"/>
                <w:lang w:eastAsia="it-IT"/>
              </w:rPr>
            </w:pPr>
          </w:p>
        </w:tc>
        <w:tc>
          <w:tcPr>
            <w:tcW w:w="399" w:type="pct"/>
            <w:shd w:val="clear" w:color="auto" w:fill="auto"/>
            <w:vAlign w:val="center"/>
          </w:tcPr>
          <w:p w14:paraId="248EA011" w14:textId="0B4AE31F" w:rsidR="00031F31" w:rsidRPr="004B05A3" w:rsidRDefault="00031F31" w:rsidP="00031F31">
            <w:pPr>
              <w:spacing w:after="0" w:line="240" w:lineRule="auto"/>
              <w:jc w:val="both"/>
              <w:rPr>
                <w:rFonts w:ascii="Garamond" w:eastAsia="Times New Roman" w:hAnsi="Garamond" w:cs="Times New Roman"/>
                <w:color w:val="000000"/>
                <w:lang w:eastAsia="it-IT"/>
              </w:rPr>
            </w:pPr>
          </w:p>
        </w:tc>
        <w:tc>
          <w:tcPr>
            <w:tcW w:w="1151" w:type="pct"/>
            <w:vAlign w:val="center"/>
          </w:tcPr>
          <w:p w14:paraId="74871AE0" w14:textId="48E13518" w:rsidR="00031F31" w:rsidRPr="00023F3C" w:rsidRDefault="00031F31" w:rsidP="00031F31">
            <w:pPr>
              <w:spacing w:after="0" w:line="240" w:lineRule="auto"/>
              <w:jc w:val="both"/>
              <w:rPr>
                <w:rFonts w:ascii="Garamond" w:eastAsia="Times New Roman" w:hAnsi="Garamond" w:cs="Times New Roman"/>
                <w:color w:val="000000"/>
                <w:lang w:eastAsia="it-IT"/>
              </w:rPr>
            </w:pPr>
            <w:r w:rsidRPr="00D37BD3">
              <w:rPr>
                <w:rFonts w:ascii="Garamond" w:eastAsia="Times New Roman" w:hAnsi="Garamond" w:cs="Times New Roman"/>
                <w:color w:val="000000"/>
                <w:lang w:eastAsia="it-IT"/>
              </w:rPr>
              <w:t>• Decisione di contrarre</w:t>
            </w:r>
          </w:p>
        </w:tc>
      </w:tr>
      <w:tr w:rsidR="00031F31" w:rsidRPr="00023F3C" w14:paraId="4AC98D9B" w14:textId="77777777" w:rsidTr="00B277D2">
        <w:trPr>
          <w:trHeight w:val="1082"/>
        </w:trPr>
        <w:tc>
          <w:tcPr>
            <w:tcW w:w="354" w:type="pct"/>
            <w:shd w:val="clear" w:color="auto" w:fill="auto"/>
            <w:vAlign w:val="center"/>
          </w:tcPr>
          <w:p w14:paraId="0304E2B1" w14:textId="34E2F4D0"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371" w:type="pct"/>
            <w:shd w:val="clear" w:color="auto" w:fill="auto"/>
            <w:vAlign w:val="center"/>
          </w:tcPr>
          <w:p w14:paraId="6D79532D" w14:textId="664B6DDA" w:rsidR="00031F31" w:rsidRPr="00023F3C"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È stata approvata la documentazione di gara?</w:t>
            </w:r>
          </w:p>
        </w:tc>
        <w:tc>
          <w:tcPr>
            <w:tcW w:w="133" w:type="pct"/>
            <w:shd w:val="clear" w:color="auto" w:fill="auto"/>
            <w:vAlign w:val="center"/>
          </w:tcPr>
          <w:p w14:paraId="6278CC0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F370712"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D172D0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D27708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42B220DA" w14:textId="77777777" w:rsidR="00031F31" w:rsidRPr="004B05A3" w:rsidRDefault="00031F31" w:rsidP="00031F31">
            <w:pPr>
              <w:spacing w:after="0" w:line="240" w:lineRule="auto"/>
              <w:jc w:val="both"/>
              <w:rPr>
                <w:rFonts w:ascii="Garamond" w:eastAsia="Times New Roman" w:hAnsi="Garamond" w:cs="Times New Roman"/>
                <w:color w:val="000000"/>
                <w:lang w:eastAsia="it-IT"/>
              </w:rPr>
            </w:pPr>
          </w:p>
        </w:tc>
        <w:tc>
          <w:tcPr>
            <w:tcW w:w="399" w:type="pct"/>
            <w:shd w:val="clear" w:color="auto" w:fill="auto"/>
            <w:vAlign w:val="center"/>
          </w:tcPr>
          <w:p w14:paraId="7D150F6F" w14:textId="71075E1B" w:rsidR="00031F31" w:rsidRPr="004B05A3" w:rsidRDefault="00031F31" w:rsidP="00031F31">
            <w:pPr>
              <w:spacing w:after="0" w:line="240" w:lineRule="auto"/>
              <w:jc w:val="both"/>
              <w:rPr>
                <w:rFonts w:ascii="Garamond" w:eastAsia="Times New Roman" w:hAnsi="Garamond" w:cs="Times New Roman"/>
                <w:color w:val="000000"/>
                <w:lang w:eastAsia="it-IT"/>
              </w:rPr>
            </w:pPr>
          </w:p>
        </w:tc>
        <w:tc>
          <w:tcPr>
            <w:tcW w:w="1151" w:type="pct"/>
            <w:vAlign w:val="center"/>
          </w:tcPr>
          <w:p w14:paraId="2BFE0319" w14:textId="757DAD7A" w:rsidR="00031F31" w:rsidDel="00344A18"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e/o atto separato di approvazione della documentazione di gara</w:t>
            </w:r>
          </w:p>
        </w:tc>
      </w:tr>
      <w:tr w:rsidR="00031F31" w:rsidRPr="00023F3C" w14:paraId="2744BCA5" w14:textId="77777777" w:rsidTr="001974BB">
        <w:trPr>
          <w:trHeight w:val="825"/>
        </w:trPr>
        <w:tc>
          <w:tcPr>
            <w:tcW w:w="354" w:type="pct"/>
            <w:shd w:val="clear" w:color="auto" w:fill="B4C6E7" w:themeFill="accent1" w:themeFillTint="66"/>
            <w:vAlign w:val="center"/>
          </w:tcPr>
          <w:p w14:paraId="33EAC01D" w14:textId="79C0D12B" w:rsidR="00031F31" w:rsidRPr="00300AD4" w:rsidRDefault="00031F31" w:rsidP="00031F3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D</w:t>
            </w:r>
          </w:p>
        </w:tc>
        <w:tc>
          <w:tcPr>
            <w:tcW w:w="4646" w:type="pct"/>
            <w:gridSpan w:val="8"/>
            <w:shd w:val="clear" w:color="auto" w:fill="B4C6E7" w:themeFill="accent1" w:themeFillTint="66"/>
            <w:vAlign w:val="center"/>
          </w:tcPr>
          <w:p w14:paraId="4DB80280" w14:textId="7AA9C44C" w:rsidR="00031F31" w:rsidRPr="00300AD4" w:rsidRDefault="00031F31" w:rsidP="00031F3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Le pubblicazioni</w:t>
            </w:r>
          </w:p>
        </w:tc>
      </w:tr>
      <w:tr w:rsidR="00031F31" w:rsidRPr="00023F3C" w14:paraId="42D0C9BF" w14:textId="77777777" w:rsidTr="00B277D2">
        <w:trPr>
          <w:trHeight w:val="1417"/>
        </w:trPr>
        <w:tc>
          <w:tcPr>
            <w:tcW w:w="354" w:type="pct"/>
            <w:shd w:val="clear" w:color="auto" w:fill="auto"/>
            <w:vAlign w:val="center"/>
          </w:tcPr>
          <w:p w14:paraId="1305DF1C" w14:textId="0686FE63" w:rsidR="00031F31" w:rsidRPr="00886F77" w:rsidRDefault="00031F31" w:rsidP="00031F31">
            <w:pPr>
              <w:spacing w:after="0" w:line="240" w:lineRule="auto"/>
              <w:jc w:val="center"/>
              <w:rPr>
                <w:rFonts w:ascii="Garamond" w:eastAsia="Times New Roman" w:hAnsi="Garamond" w:cs="Times New Roman"/>
                <w:lang w:eastAsia="it-IT"/>
              </w:rPr>
            </w:pPr>
            <w:r w:rsidRPr="00886F77">
              <w:rPr>
                <w:rFonts w:ascii="Garamond" w:eastAsia="Times New Roman" w:hAnsi="Garamond" w:cs="Times New Roman"/>
                <w:lang w:eastAsia="it-IT"/>
              </w:rPr>
              <w:lastRenderedPageBreak/>
              <w:t>1</w:t>
            </w:r>
          </w:p>
        </w:tc>
        <w:tc>
          <w:tcPr>
            <w:tcW w:w="1371" w:type="pct"/>
            <w:shd w:val="clear" w:color="auto" w:fill="auto"/>
            <w:vAlign w:val="center"/>
          </w:tcPr>
          <w:p w14:paraId="634CEE7D" w14:textId="03D9CB40" w:rsidR="00031F31" w:rsidRPr="00886F77" w:rsidRDefault="00031F31" w:rsidP="00031F31">
            <w:pPr>
              <w:spacing w:after="0" w:line="240" w:lineRule="auto"/>
              <w:jc w:val="both"/>
              <w:rPr>
                <w:rFonts w:ascii="Garamond" w:eastAsia="Times New Roman" w:hAnsi="Garamond" w:cs="Times New Roman"/>
                <w:lang w:eastAsia="it-IT"/>
              </w:rPr>
            </w:pPr>
            <w:r w:rsidRPr="00886F77">
              <w:rPr>
                <w:rFonts w:ascii="Garamond" w:eastAsia="Times New Roman" w:hAnsi="Garamond" w:cs="Times New Roman"/>
                <w:lang w:eastAsia="it-IT"/>
              </w:rPr>
              <w:t xml:space="preserve">Sono stati rispettati dall’Amministrazione gli obblighi in materia di pubblicità e trasparenza? </w:t>
            </w:r>
          </w:p>
        </w:tc>
        <w:tc>
          <w:tcPr>
            <w:tcW w:w="133" w:type="pct"/>
            <w:shd w:val="clear" w:color="auto" w:fill="auto"/>
            <w:vAlign w:val="center"/>
          </w:tcPr>
          <w:p w14:paraId="19662FE4"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004808B0"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6681E6A8"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207AA702"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662" w:type="pct"/>
          </w:tcPr>
          <w:p w14:paraId="53A9F22D"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399" w:type="pct"/>
            <w:shd w:val="clear" w:color="auto" w:fill="auto"/>
            <w:vAlign w:val="center"/>
          </w:tcPr>
          <w:p w14:paraId="1C65AFC7" w14:textId="392B7811" w:rsidR="00031F31" w:rsidRPr="00886F77" w:rsidRDefault="00031F31" w:rsidP="00031F31">
            <w:pPr>
              <w:spacing w:after="0" w:line="240" w:lineRule="auto"/>
              <w:jc w:val="both"/>
              <w:rPr>
                <w:rFonts w:ascii="Garamond" w:eastAsia="Times New Roman" w:hAnsi="Garamond" w:cs="Times New Roman"/>
                <w:b/>
                <w:bCs/>
                <w:lang w:eastAsia="it-IT"/>
              </w:rPr>
            </w:pPr>
          </w:p>
        </w:tc>
        <w:tc>
          <w:tcPr>
            <w:tcW w:w="1151" w:type="pct"/>
            <w:vAlign w:val="center"/>
          </w:tcPr>
          <w:p w14:paraId="22EB9571" w14:textId="5556FAF7" w:rsidR="00031F31" w:rsidRPr="00886F77" w:rsidRDefault="00031F31" w:rsidP="00031F31">
            <w:pPr>
              <w:spacing w:after="0" w:line="240" w:lineRule="auto"/>
              <w:jc w:val="both"/>
              <w:rPr>
                <w:rFonts w:ascii="Garamond" w:eastAsia="Times New Roman" w:hAnsi="Garamond" w:cs="Times New Roman"/>
                <w:lang w:eastAsia="it-IT"/>
              </w:rPr>
            </w:pPr>
            <w:r w:rsidRPr="00886F77">
              <w:rPr>
                <w:rFonts w:ascii="Garamond" w:eastAsia="Times New Roman" w:hAnsi="Garamond" w:cs="Times New Roman"/>
                <w:lang w:eastAsia="it-IT"/>
              </w:rPr>
              <w:t xml:space="preserve">• link sezione amministrazione trasparente </w:t>
            </w:r>
          </w:p>
        </w:tc>
      </w:tr>
      <w:tr w:rsidR="00031F31" w:rsidRPr="00023F3C" w14:paraId="212501B7" w14:textId="77777777" w:rsidTr="00D4233C">
        <w:trPr>
          <w:trHeight w:val="1963"/>
        </w:trPr>
        <w:tc>
          <w:tcPr>
            <w:tcW w:w="354" w:type="pct"/>
            <w:shd w:val="clear" w:color="auto" w:fill="auto"/>
            <w:vAlign w:val="center"/>
          </w:tcPr>
          <w:p w14:paraId="650AA5F9" w14:textId="04E6AFB9" w:rsidR="00031F31" w:rsidRPr="00886F77" w:rsidRDefault="00031F31" w:rsidP="00031F31">
            <w:pPr>
              <w:spacing w:after="0" w:line="240" w:lineRule="auto"/>
              <w:jc w:val="center"/>
              <w:rPr>
                <w:rFonts w:ascii="Garamond" w:eastAsia="Times New Roman" w:hAnsi="Garamond" w:cs="Times New Roman"/>
                <w:lang w:eastAsia="it-IT"/>
              </w:rPr>
            </w:pPr>
            <w:r w:rsidRPr="00886F77">
              <w:rPr>
                <w:rFonts w:ascii="Garamond" w:eastAsia="Times New Roman" w:hAnsi="Garamond" w:cs="Times New Roman"/>
                <w:lang w:eastAsia="it-IT"/>
              </w:rPr>
              <w:t>2</w:t>
            </w:r>
          </w:p>
        </w:tc>
        <w:tc>
          <w:tcPr>
            <w:tcW w:w="1371" w:type="pct"/>
            <w:shd w:val="clear" w:color="auto" w:fill="auto"/>
            <w:vAlign w:val="center"/>
          </w:tcPr>
          <w:p w14:paraId="648E2CE7" w14:textId="20F00574" w:rsidR="00031F31" w:rsidRPr="00886F77" w:rsidRDefault="00031F31" w:rsidP="00031F31">
            <w:pPr>
              <w:spacing w:after="0" w:line="240" w:lineRule="auto"/>
              <w:jc w:val="both"/>
              <w:rPr>
                <w:rFonts w:ascii="Garamond" w:eastAsia="Times New Roman" w:hAnsi="Garamond" w:cs="Times New Roman"/>
                <w:lang w:eastAsia="it-IT"/>
              </w:rPr>
            </w:pPr>
            <w:r w:rsidRPr="00886F77">
              <w:rPr>
                <w:rFonts w:ascii="Garamond" w:eastAsia="Times New Roman" w:hAnsi="Garamond" w:cs="Times New Roman"/>
                <w:lang w:eastAsia="it-IT"/>
              </w:rPr>
              <w:t>I documenti di gara sono stati resi disponibili in forma digitale, in modo gratuito, illimitato e diretto (art. 88 del d.lgs. 36/2023)?</w:t>
            </w:r>
          </w:p>
        </w:tc>
        <w:tc>
          <w:tcPr>
            <w:tcW w:w="133" w:type="pct"/>
            <w:shd w:val="clear" w:color="auto" w:fill="auto"/>
            <w:vAlign w:val="center"/>
          </w:tcPr>
          <w:p w14:paraId="3D5D85E4"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47E64BDA"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68F8C3BC"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2A79DF76"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662" w:type="pct"/>
          </w:tcPr>
          <w:p w14:paraId="207E7561"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399" w:type="pct"/>
            <w:shd w:val="clear" w:color="auto" w:fill="auto"/>
            <w:vAlign w:val="center"/>
          </w:tcPr>
          <w:p w14:paraId="2E69D6F7" w14:textId="77777777" w:rsidR="00031F31" w:rsidRPr="00886F77" w:rsidRDefault="00031F31" w:rsidP="00031F31">
            <w:pPr>
              <w:spacing w:after="0" w:line="240" w:lineRule="auto"/>
              <w:jc w:val="both"/>
              <w:rPr>
                <w:rFonts w:ascii="Garamond" w:eastAsia="Times New Roman" w:hAnsi="Garamond" w:cs="Times New Roman"/>
                <w:b/>
                <w:bCs/>
                <w:lang w:eastAsia="it-IT"/>
              </w:rPr>
            </w:pPr>
          </w:p>
        </w:tc>
        <w:tc>
          <w:tcPr>
            <w:tcW w:w="1151" w:type="pct"/>
            <w:vAlign w:val="center"/>
          </w:tcPr>
          <w:p w14:paraId="2D689B92" w14:textId="330E044A" w:rsidR="00031F31" w:rsidRPr="00886F77" w:rsidRDefault="00031F31" w:rsidP="00031F31">
            <w:pPr>
              <w:spacing w:after="0" w:line="240" w:lineRule="auto"/>
              <w:jc w:val="both"/>
              <w:rPr>
                <w:rFonts w:ascii="Garamond" w:eastAsia="Times New Roman" w:hAnsi="Garamond" w:cs="Times New Roman"/>
                <w:lang w:eastAsia="it-IT"/>
              </w:rPr>
            </w:pPr>
            <w:r w:rsidRPr="00886F77">
              <w:rPr>
                <w:rFonts w:ascii="Garamond" w:eastAsia="Times New Roman" w:hAnsi="Garamond" w:cs="Times New Roman"/>
                <w:lang w:eastAsia="it-IT"/>
              </w:rPr>
              <w:t>• Piattaforma di approvvigionamento digitale in uso</w:t>
            </w:r>
          </w:p>
        </w:tc>
      </w:tr>
      <w:tr w:rsidR="00B01A7C" w:rsidRPr="00023F3C" w14:paraId="4F7BB2C7" w14:textId="77777777" w:rsidTr="00D4233C">
        <w:trPr>
          <w:trHeight w:val="1963"/>
        </w:trPr>
        <w:tc>
          <w:tcPr>
            <w:tcW w:w="354" w:type="pct"/>
            <w:shd w:val="clear" w:color="auto" w:fill="auto"/>
            <w:vAlign w:val="center"/>
          </w:tcPr>
          <w:p w14:paraId="0AA905EA" w14:textId="30336902" w:rsidR="00B01A7C" w:rsidRPr="00886F77" w:rsidRDefault="00B01A7C" w:rsidP="00B01A7C">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3</w:t>
            </w:r>
          </w:p>
        </w:tc>
        <w:tc>
          <w:tcPr>
            <w:tcW w:w="1371" w:type="pct"/>
            <w:shd w:val="clear" w:color="auto" w:fill="auto"/>
            <w:vAlign w:val="center"/>
          </w:tcPr>
          <w:p w14:paraId="1154A12D" w14:textId="05F53689" w:rsidR="00B01A7C" w:rsidRPr="00886F77" w:rsidRDefault="00B01A7C" w:rsidP="00B01A7C">
            <w:pPr>
              <w:spacing w:after="0" w:line="240" w:lineRule="auto"/>
              <w:jc w:val="both"/>
              <w:rPr>
                <w:rFonts w:ascii="Garamond" w:eastAsia="Times New Roman" w:hAnsi="Garamond" w:cs="Times New Roman"/>
                <w:lang w:eastAsia="it-IT"/>
              </w:rPr>
            </w:pPr>
            <w:r w:rsidRPr="00617316">
              <w:rPr>
                <w:rFonts w:ascii="Garamond" w:eastAsia="Times New Roman" w:hAnsi="Garamond" w:cs="Times New Roman"/>
                <w:lang w:eastAsia="it-IT"/>
              </w:rPr>
              <w:t>Nel caso in cui la Stazione Appaltante abbia disposto una rettifica alla documentazione di gara la stessa è stata pubblicata in modo conforme alla normativa vigente?</w:t>
            </w:r>
          </w:p>
        </w:tc>
        <w:tc>
          <w:tcPr>
            <w:tcW w:w="133" w:type="pct"/>
            <w:shd w:val="clear" w:color="auto" w:fill="auto"/>
            <w:vAlign w:val="center"/>
          </w:tcPr>
          <w:p w14:paraId="76B7F38A" w14:textId="77777777" w:rsidR="00B01A7C" w:rsidRPr="00886F77" w:rsidRDefault="00B01A7C" w:rsidP="00B01A7C">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0A06FE2E" w14:textId="77777777" w:rsidR="00B01A7C" w:rsidRPr="00886F77" w:rsidRDefault="00B01A7C" w:rsidP="00B01A7C">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4951E6BA" w14:textId="77777777" w:rsidR="00B01A7C" w:rsidRPr="00886F77" w:rsidRDefault="00B01A7C" w:rsidP="00B01A7C">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660D5A5D" w14:textId="77777777" w:rsidR="00B01A7C" w:rsidRPr="00886F77" w:rsidRDefault="00B01A7C" w:rsidP="00B01A7C">
            <w:pPr>
              <w:spacing w:after="0" w:line="240" w:lineRule="auto"/>
              <w:jc w:val="both"/>
              <w:rPr>
                <w:rFonts w:ascii="Garamond" w:eastAsia="Times New Roman" w:hAnsi="Garamond" w:cs="Times New Roman"/>
                <w:b/>
                <w:bCs/>
                <w:lang w:eastAsia="it-IT"/>
              </w:rPr>
            </w:pPr>
          </w:p>
        </w:tc>
        <w:tc>
          <w:tcPr>
            <w:tcW w:w="662" w:type="pct"/>
          </w:tcPr>
          <w:p w14:paraId="29509819" w14:textId="77777777" w:rsidR="00B01A7C" w:rsidRPr="00886F77" w:rsidRDefault="00B01A7C" w:rsidP="00B01A7C">
            <w:pPr>
              <w:spacing w:after="0" w:line="240" w:lineRule="auto"/>
              <w:jc w:val="both"/>
              <w:rPr>
                <w:rFonts w:ascii="Garamond" w:eastAsia="Times New Roman" w:hAnsi="Garamond" w:cs="Times New Roman"/>
                <w:b/>
                <w:bCs/>
                <w:lang w:eastAsia="it-IT"/>
              </w:rPr>
            </w:pPr>
          </w:p>
        </w:tc>
        <w:tc>
          <w:tcPr>
            <w:tcW w:w="399" w:type="pct"/>
            <w:shd w:val="clear" w:color="auto" w:fill="auto"/>
            <w:vAlign w:val="center"/>
          </w:tcPr>
          <w:p w14:paraId="13E7C9A8" w14:textId="77777777" w:rsidR="00B01A7C" w:rsidRPr="00886F77" w:rsidRDefault="00B01A7C" w:rsidP="00B01A7C">
            <w:pPr>
              <w:spacing w:after="0" w:line="240" w:lineRule="auto"/>
              <w:jc w:val="both"/>
              <w:rPr>
                <w:rFonts w:ascii="Garamond" w:eastAsia="Times New Roman" w:hAnsi="Garamond" w:cs="Times New Roman"/>
                <w:b/>
                <w:bCs/>
                <w:lang w:eastAsia="it-IT"/>
              </w:rPr>
            </w:pPr>
          </w:p>
        </w:tc>
        <w:tc>
          <w:tcPr>
            <w:tcW w:w="1151" w:type="pct"/>
            <w:vAlign w:val="center"/>
          </w:tcPr>
          <w:p w14:paraId="3E2FEBF4" w14:textId="2B39DDAB" w:rsidR="00B01A7C" w:rsidRPr="00886F77" w:rsidRDefault="00B01A7C" w:rsidP="00B01A7C">
            <w:pPr>
              <w:spacing w:after="0" w:line="240" w:lineRule="auto"/>
              <w:jc w:val="both"/>
              <w:rPr>
                <w:rFonts w:ascii="Garamond" w:eastAsia="Times New Roman" w:hAnsi="Garamond" w:cs="Times New Roman"/>
                <w:lang w:eastAsia="it-IT"/>
              </w:rPr>
            </w:pPr>
            <w:r w:rsidRPr="004650C2">
              <w:rPr>
                <w:rFonts w:ascii="Garamond" w:eastAsia="Times New Roman" w:hAnsi="Garamond" w:cs="Times New Roman"/>
                <w:color w:val="000000"/>
                <w:lang w:eastAsia="it-IT"/>
              </w:rPr>
              <w:t>• D</w:t>
            </w:r>
            <w:r>
              <w:rPr>
                <w:rFonts w:ascii="Garamond" w:eastAsia="Times New Roman" w:hAnsi="Garamond" w:cs="Times New Roman"/>
                <w:color w:val="000000"/>
                <w:lang w:eastAsia="it-IT"/>
              </w:rPr>
              <w:t>ocumentazione di gara</w:t>
            </w:r>
            <w:r w:rsidRPr="004650C2">
              <w:rPr>
                <w:rFonts w:ascii="Garamond" w:eastAsia="Times New Roman" w:hAnsi="Garamond" w:cs="Times New Roman"/>
                <w:color w:val="000000"/>
                <w:lang w:eastAsia="it-IT"/>
              </w:rPr>
              <w:t xml:space="preserve"> </w:t>
            </w:r>
          </w:p>
        </w:tc>
      </w:tr>
      <w:tr w:rsidR="00031F31" w:rsidRPr="00023F3C" w14:paraId="5F0BC62A" w14:textId="77777777" w:rsidTr="00D4233C">
        <w:trPr>
          <w:trHeight w:val="923"/>
        </w:trPr>
        <w:tc>
          <w:tcPr>
            <w:tcW w:w="354" w:type="pct"/>
            <w:shd w:val="clear" w:color="auto" w:fill="B4C6E7" w:themeFill="accent1" w:themeFillTint="66"/>
            <w:vAlign w:val="center"/>
          </w:tcPr>
          <w:p w14:paraId="5BFBC5B8" w14:textId="780337E7" w:rsidR="00031F31" w:rsidRPr="00D4233C" w:rsidRDefault="00031F31" w:rsidP="00031F3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4646" w:type="pct"/>
            <w:gridSpan w:val="8"/>
            <w:shd w:val="clear" w:color="auto" w:fill="B4C6E7" w:themeFill="accent1" w:themeFillTint="66"/>
            <w:vAlign w:val="center"/>
          </w:tcPr>
          <w:p w14:paraId="6CB10B4F" w14:textId="3E2A6E89" w:rsidR="00031F31" w:rsidRPr="00D4233C" w:rsidRDefault="00031F31" w:rsidP="00031F3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La documentazione di gara</w:t>
            </w:r>
          </w:p>
        </w:tc>
      </w:tr>
      <w:tr w:rsidR="00031F31" w:rsidRPr="00023F3C" w14:paraId="1504553C" w14:textId="77777777" w:rsidTr="00B277D2">
        <w:trPr>
          <w:trHeight w:val="1417"/>
        </w:trPr>
        <w:tc>
          <w:tcPr>
            <w:tcW w:w="354" w:type="pct"/>
            <w:shd w:val="clear" w:color="auto" w:fill="auto"/>
            <w:vAlign w:val="center"/>
          </w:tcPr>
          <w:p w14:paraId="4B1223CA" w14:textId="31CDF604" w:rsidR="00031F31" w:rsidRPr="00A949C8" w:rsidRDefault="00730284"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p>
        </w:tc>
        <w:tc>
          <w:tcPr>
            <w:tcW w:w="1371" w:type="pct"/>
            <w:shd w:val="clear" w:color="auto" w:fill="auto"/>
            <w:vAlign w:val="center"/>
          </w:tcPr>
          <w:p w14:paraId="11F3CFB5" w14:textId="7365BA8F" w:rsidR="00031F31" w:rsidRPr="00A949C8" w:rsidRDefault="00031F31" w:rsidP="00031F3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 xml:space="preserve">Decisione di contrarre, </w:t>
            </w:r>
            <w:r w:rsidR="00F602B4">
              <w:rPr>
                <w:rFonts w:ascii="Garamond" w:eastAsia="Times New Roman" w:hAnsi="Garamond" w:cs="Times New Roman"/>
                <w:color w:val="000000"/>
                <w:lang w:eastAsia="it-IT"/>
              </w:rPr>
              <w:t>Lettera di invito</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023F3C">
              <w:rPr>
                <w:rFonts w:ascii="Garamond" w:eastAsia="Times New Roman" w:hAnsi="Garamond" w:cs="Times New Roman"/>
                <w:color w:val="000000"/>
                <w:lang w:eastAsia="it-IT"/>
              </w:rPr>
              <w:t>isciplinare/</w:t>
            </w:r>
            <w:r>
              <w:rPr>
                <w:rFonts w:ascii="Garamond" w:eastAsia="Times New Roman" w:hAnsi="Garamond" w:cs="Times New Roman"/>
                <w:color w:val="000000"/>
                <w:lang w:eastAsia="it-IT"/>
              </w:rPr>
              <w:t>C</w:t>
            </w:r>
            <w:r w:rsidRPr="00023F3C">
              <w:rPr>
                <w:rFonts w:ascii="Garamond" w:eastAsia="Times New Roman" w:hAnsi="Garamond" w:cs="Times New Roman"/>
                <w:color w:val="000000"/>
                <w:lang w:eastAsia="it-IT"/>
              </w:rPr>
              <w:t>apitolato/</w:t>
            </w:r>
            <w:r w:rsidRPr="00023F3C" w:rsidDel="00971CF8">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ecc.) riporta il riferimento esplicito al finanziamento da parte dell’Unione europea 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33" w:type="pct"/>
            <w:shd w:val="clear" w:color="auto" w:fill="auto"/>
            <w:vAlign w:val="center"/>
          </w:tcPr>
          <w:p w14:paraId="517405A1" w14:textId="77777777" w:rsidR="00031F31" w:rsidRPr="00A949C8"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B08D823" w14:textId="77777777" w:rsidR="00031F31" w:rsidRPr="00A949C8"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D58B112" w14:textId="77777777" w:rsidR="00031F31" w:rsidRPr="00A949C8"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E8DF134" w14:textId="77777777" w:rsidR="00031F31" w:rsidRPr="00A949C8"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066B46CA" w14:textId="77777777" w:rsidR="00031F31" w:rsidRPr="00A949C8"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C876043" w14:textId="77777777" w:rsidR="00031F31" w:rsidRPr="00A949C8"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7835497C" w14:textId="77777777" w:rsidR="00031F31" w:rsidRPr="00A949C8" w:rsidRDefault="00031F31" w:rsidP="00031F31">
            <w:pPr>
              <w:spacing w:after="0" w:line="240" w:lineRule="auto"/>
              <w:jc w:val="both"/>
              <w:rPr>
                <w:rFonts w:ascii="Garamond" w:eastAsia="Times New Roman" w:hAnsi="Garamond" w:cs="Times New Roman"/>
                <w:color w:val="000000"/>
                <w:lang w:eastAsia="it-IT"/>
              </w:rPr>
            </w:pPr>
            <w:r w:rsidRPr="00A949C8">
              <w:rPr>
                <w:rFonts w:ascii="Garamond" w:eastAsia="Times New Roman" w:hAnsi="Garamond" w:cs="Times New Roman"/>
                <w:color w:val="000000"/>
                <w:lang w:eastAsia="it-IT"/>
              </w:rPr>
              <w:t xml:space="preserve">• Decisione di contrarre  </w:t>
            </w:r>
          </w:p>
          <w:p w14:paraId="2F512185" w14:textId="77777777" w:rsidR="00031F31" w:rsidRPr="00A949C8" w:rsidRDefault="00031F31" w:rsidP="00031F31">
            <w:pPr>
              <w:spacing w:after="0" w:line="240" w:lineRule="auto"/>
              <w:jc w:val="both"/>
              <w:rPr>
                <w:rFonts w:ascii="Garamond" w:eastAsia="Times New Roman" w:hAnsi="Garamond" w:cs="Times New Roman"/>
                <w:color w:val="000000"/>
                <w:lang w:eastAsia="it-IT"/>
              </w:rPr>
            </w:pPr>
            <w:r w:rsidRPr="00A949C8">
              <w:rPr>
                <w:rFonts w:ascii="Garamond" w:eastAsia="Times New Roman" w:hAnsi="Garamond" w:cs="Times New Roman"/>
                <w:color w:val="000000"/>
                <w:lang w:eastAsia="it-IT"/>
              </w:rPr>
              <w:t>• Lettera di invito</w:t>
            </w:r>
          </w:p>
          <w:p w14:paraId="567FAE60" w14:textId="77777777" w:rsidR="00031F31" w:rsidRPr="00A949C8" w:rsidRDefault="00031F31" w:rsidP="00031F31">
            <w:pPr>
              <w:spacing w:after="0" w:line="240" w:lineRule="auto"/>
              <w:jc w:val="both"/>
              <w:rPr>
                <w:rFonts w:ascii="Garamond" w:eastAsia="Times New Roman" w:hAnsi="Garamond" w:cs="Times New Roman"/>
                <w:color w:val="000000"/>
                <w:lang w:eastAsia="it-IT"/>
              </w:rPr>
            </w:pPr>
            <w:r w:rsidRPr="00A949C8">
              <w:rPr>
                <w:rFonts w:ascii="Garamond" w:eastAsia="Times New Roman" w:hAnsi="Garamond" w:cs="Times New Roman"/>
                <w:color w:val="000000"/>
                <w:lang w:eastAsia="it-IT"/>
              </w:rPr>
              <w:t>• Capitolato</w:t>
            </w:r>
          </w:p>
          <w:p w14:paraId="5084E2F9" w14:textId="7B518884" w:rsidR="00031F31" w:rsidRPr="00A949C8" w:rsidRDefault="00031F31" w:rsidP="00031F31">
            <w:pPr>
              <w:spacing w:after="0" w:line="240" w:lineRule="auto"/>
              <w:jc w:val="both"/>
              <w:rPr>
                <w:rFonts w:ascii="Garamond" w:eastAsia="Times New Roman" w:hAnsi="Garamond" w:cs="Times New Roman"/>
                <w:color w:val="000000"/>
                <w:lang w:eastAsia="it-IT"/>
              </w:rPr>
            </w:pPr>
            <w:r w:rsidRPr="00A949C8">
              <w:rPr>
                <w:rFonts w:ascii="Garamond" w:eastAsia="Times New Roman" w:hAnsi="Garamond" w:cs="Times New Roman"/>
                <w:color w:val="000000"/>
                <w:lang w:eastAsia="it-IT"/>
              </w:rPr>
              <w:t>• Altro</w:t>
            </w:r>
          </w:p>
        </w:tc>
      </w:tr>
      <w:tr w:rsidR="00031F31" w:rsidRPr="00023F3C" w14:paraId="4054E1BD" w14:textId="77777777" w:rsidTr="00B277D2">
        <w:trPr>
          <w:trHeight w:val="1417"/>
        </w:trPr>
        <w:tc>
          <w:tcPr>
            <w:tcW w:w="354" w:type="pct"/>
            <w:shd w:val="clear" w:color="auto" w:fill="auto"/>
            <w:vAlign w:val="center"/>
          </w:tcPr>
          <w:p w14:paraId="5ED878FB" w14:textId="1E1C818E" w:rsidR="00031F31" w:rsidRDefault="00730284"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371" w:type="pct"/>
            <w:shd w:val="clear" w:color="auto" w:fill="auto"/>
            <w:vAlign w:val="center"/>
          </w:tcPr>
          <w:p w14:paraId="31A611CC" w14:textId="15B38C85" w:rsidR="00031F31" w:rsidRPr="00023F3C"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sono stati indicati il CIG e il CUP?</w:t>
            </w:r>
          </w:p>
        </w:tc>
        <w:tc>
          <w:tcPr>
            <w:tcW w:w="133" w:type="pct"/>
            <w:shd w:val="clear" w:color="auto" w:fill="auto"/>
            <w:vAlign w:val="center"/>
          </w:tcPr>
          <w:p w14:paraId="4B05861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DF5148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E21CE3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1F11D3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5E8B5FA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79FBF118" w14:textId="4B24D1A4"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7D764133" w14:textId="44A8E4F0"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AD0ADE">
              <w:rPr>
                <w:rFonts w:ascii="Garamond" w:eastAsia="Times New Roman" w:hAnsi="Garamond" w:cs="Times New Roman"/>
                <w:color w:val="000000"/>
                <w:lang w:eastAsia="it-IT"/>
              </w:rPr>
              <w:t xml:space="preserve"> </w:t>
            </w:r>
          </w:p>
          <w:p w14:paraId="3CB03D76" w14:textId="0DB28F00" w:rsidR="00031F31" w:rsidRPr="00AD0ADE"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0329C20" w14:textId="77777777"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031F31" w:rsidRPr="00AD0ADE"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031F31" w:rsidRPr="00AD0ADE"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031F31" w:rsidRPr="00023F3C" w14:paraId="29708556" w14:textId="77777777" w:rsidTr="00B277D2">
        <w:trPr>
          <w:trHeight w:val="1417"/>
        </w:trPr>
        <w:tc>
          <w:tcPr>
            <w:tcW w:w="354" w:type="pct"/>
            <w:shd w:val="clear" w:color="auto" w:fill="auto"/>
            <w:vAlign w:val="center"/>
          </w:tcPr>
          <w:p w14:paraId="1364EC33" w14:textId="71B4BF0F" w:rsidR="00031F31" w:rsidRPr="00023F3C" w:rsidRDefault="00730284"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371" w:type="pct"/>
            <w:shd w:val="clear" w:color="auto" w:fill="auto"/>
            <w:vAlign w:val="center"/>
          </w:tcPr>
          <w:p w14:paraId="3B300995" w14:textId="77777777" w:rsidR="00031F31" w:rsidRPr="00ED7D15" w:rsidRDefault="00031F31" w:rsidP="00031F31">
            <w:pPr>
              <w:spacing w:after="0" w:line="240" w:lineRule="auto"/>
              <w:jc w:val="both"/>
              <w:rPr>
                <w:rFonts w:ascii="Garamond" w:hAnsi="Garamond"/>
              </w:rPr>
            </w:pPr>
            <w:r w:rsidRPr="00ED7D15">
              <w:rPr>
                <w:rFonts w:ascii="Garamond" w:hAnsi="Garamond"/>
              </w:rPr>
              <w:t>Nella Lettera di invito sono specificati:</w:t>
            </w:r>
          </w:p>
          <w:p w14:paraId="16B49F04" w14:textId="0BFBF38A" w:rsidR="00031F31" w:rsidRPr="00550184" w:rsidRDefault="00031F31" w:rsidP="00031F31">
            <w:pPr>
              <w:pStyle w:val="ListParagraph"/>
              <w:numPr>
                <w:ilvl w:val="0"/>
                <w:numId w:val="20"/>
              </w:numPr>
              <w:spacing w:after="0" w:line="240" w:lineRule="auto"/>
              <w:jc w:val="both"/>
              <w:rPr>
                <w:rFonts w:ascii="Garamond" w:hAnsi="Garamond"/>
              </w:rPr>
            </w:pPr>
            <w:r w:rsidRPr="00550184">
              <w:rPr>
                <w:rFonts w:ascii="Garamond" w:hAnsi="Garamond"/>
              </w:rPr>
              <w:t>gli elementi essenziali dell’affidamento?</w:t>
            </w:r>
          </w:p>
          <w:p w14:paraId="1E591EC7" w14:textId="7600736A" w:rsidR="00031F31" w:rsidRPr="00550184" w:rsidRDefault="00031F31" w:rsidP="00031F31">
            <w:pPr>
              <w:pStyle w:val="ListParagraph"/>
              <w:numPr>
                <w:ilvl w:val="0"/>
                <w:numId w:val="20"/>
              </w:numPr>
              <w:spacing w:after="0" w:line="240" w:lineRule="auto"/>
              <w:jc w:val="both"/>
              <w:rPr>
                <w:rFonts w:ascii="Garamond" w:hAnsi="Garamond"/>
              </w:rPr>
            </w:pPr>
            <w:r w:rsidRPr="00550184">
              <w:rPr>
                <w:rFonts w:ascii="Garamond" w:hAnsi="Garamond"/>
              </w:rPr>
              <w:t xml:space="preserve">i criteri di selezione degli operatori economici ai sensi dell’art. 100 del </w:t>
            </w:r>
            <w:r>
              <w:rPr>
                <w:rFonts w:ascii="Garamond" w:hAnsi="Garamond"/>
              </w:rPr>
              <w:t>D</w:t>
            </w:r>
            <w:r w:rsidRPr="00550184">
              <w:rPr>
                <w:rFonts w:ascii="Garamond" w:hAnsi="Garamond"/>
              </w:rPr>
              <w:t>.</w:t>
            </w:r>
            <w:r>
              <w:rPr>
                <w:rFonts w:ascii="Garamond" w:hAnsi="Garamond"/>
              </w:rPr>
              <w:t xml:space="preserve"> L</w:t>
            </w:r>
            <w:r w:rsidRPr="00550184">
              <w:rPr>
                <w:rFonts w:ascii="Garamond" w:hAnsi="Garamond"/>
              </w:rPr>
              <w:t>gs. 36/2023 (requisiti d’idoneità professionale, requisiti di capacità economica e finanziaria e requisiti di capacità tecnico professionale)?</w:t>
            </w:r>
          </w:p>
          <w:p w14:paraId="748B5AF8" w14:textId="2CE6C898" w:rsidR="00031F31" w:rsidRPr="00550184" w:rsidRDefault="00031F31" w:rsidP="00031F31">
            <w:pPr>
              <w:pStyle w:val="ListParagraph"/>
              <w:numPr>
                <w:ilvl w:val="0"/>
                <w:numId w:val="20"/>
              </w:numPr>
              <w:spacing w:after="0" w:line="240" w:lineRule="auto"/>
              <w:jc w:val="both"/>
              <w:rPr>
                <w:rFonts w:ascii="Garamond" w:hAnsi="Garamond"/>
              </w:rPr>
            </w:pPr>
            <w:r w:rsidRPr="00550184">
              <w:rPr>
                <w:rFonts w:ascii="Garamond" w:hAnsi="Garamond"/>
              </w:rPr>
              <w:t xml:space="preserve">il criterio di aggiudicazione (art. 108 del </w:t>
            </w:r>
            <w:r>
              <w:rPr>
                <w:rFonts w:ascii="Garamond" w:hAnsi="Garamond"/>
              </w:rPr>
              <w:t>D</w:t>
            </w:r>
            <w:r w:rsidRPr="00550184">
              <w:rPr>
                <w:rFonts w:ascii="Garamond" w:hAnsi="Garamond"/>
              </w:rPr>
              <w:t>.</w:t>
            </w:r>
            <w:r>
              <w:rPr>
                <w:rFonts w:ascii="Garamond" w:hAnsi="Garamond"/>
              </w:rPr>
              <w:t xml:space="preserve"> L</w:t>
            </w:r>
            <w:r w:rsidRPr="00550184">
              <w:rPr>
                <w:rFonts w:ascii="Garamond" w:hAnsi="Garamond"/>
              </w:rPr>
              <w:t>gs. 36/2023 offerta economicamente più vantaggiosa – minor prezzo)?</w:t>
            </w:r>
          </w:p>
          <w:p w14:paraId="724FE08C" w14:textId="3A1E4D77" w:rsidR="00031F31" w:rsidRPr="00550184" w:rsidRDefault="00031F31" w:rsidP="00031F31">
            <w:pPr>
              <w:pStyle w:val="ListParagraph"/>
              <w:numPr>
                <w:ilvl w:val="0"/>
                <w:numId w:val="20"/>
              </w:numPr>
              <w:spacing w:after="0" w:line="240" w:lineRule="auto"/>
              <w:jc w:val="both"/>
              <w:rPr>
                <w:rFonts w:ascii="Garamond" w:hAnsi="Garamond"/>
              </w:rPr>
            </w:pPr>
            <w:r w:rsidRPr="00550184">
              <w:rPr>
                <w:rFonts w:ascii="Garamond" w:hAnsi="Garamond"/>
              </w:rPr>
              <w:t xml:space="preserve">criteri premiali che prevedano un maggior punteggio da attribuire alle imprese per l'adozione di politiche tese al raggiungimento della parità di genere comprovata dal possesso della certificazione della parità di genere di cui </w:t>
            </w:r>
            <w:r w:rsidRPr="00550184">
              <w:rPr>
                <w:rFonts w:ascii="Garamond" w:hAnsi="Garamond"/>
              </w:rPr>
              <w:lastRenderedPageBreak/>
              <w:t xml:space="preserve">all'articolo 46-bis del codice delle pari opportunità tra uomo e donna, di cui al decreto legislativo 11 aprile 2006, n. 198 (art. 108, comma 7, del </w:t>
            </w:r>
            <w:r>
              <w:rPr>
                <w:rFonts w:ascii="Garamond" w:hAnsi="Garamond"/>
              </w:rPr>
              <w:t>D</w:t>
            </w:r>
            <w:r w:rsidRPr="00550184">
              <w:rPr>
                <w:rFonts w:ascii="Garamond" w:hAnsi="Garamond"/>
              </w:rPr>
              <w:t>.</w:t>
            </w:r>
            <w:r>
              <w:rPr>
                <w:rFonts w:ascii="Garamond" w:hAnsi="Garamond"/>
              </w:rPr>
              <w:t xml:space="preserve"> L</w:t>
            </w:r>
            <w:r w:rsidRPr="00550184">
              <w:rPr>
                <w:rFonts w:ascii="Garamond" w:hAnsi="Garamond"/>
              </w:rPr>
              <w:t>gs. 36/2023)?</w:t>
            </w:r>
          </w:p>
          <w:p w14:paraId="6C826876" w14:textId="031A10B2" w:rsidR="00031F31" w:rsidRDefault="00031F31" w:rsidP="00031F31">
            <w:pPr>
              <w:pStyle w:val="ListParagraph"/>
              <w:numPr>
                <w:ilvl w:val="0"/>
                <w:numId w:val="20"/>
              </w:numPr>
              <w:spacing w:after="0" w:line="240" w:lineRule="auto"/>
              <w:jc w:val="both"/>
              <w:rPr>
                <w:rFonts w:ascii="Garamond" w:hAnsi="Garamond"/>
              </w:rPr>
            </w:pPr>
            <w:r w:rsidRPr="00550184">
              <w:rPr>
                <w:rFonts w:ascii="Garamond" w:hAnsi="Garamond"/>
              </w:rPr>
              <w:t>la griglia di valutazione al fine di accertare i criteri qualitativi?</w:t>
            </w:r>
          </w:p>
          <w:p w14:paraId="292F4E21" w14:textId="77777777" w:rsidR="00031F31" w:rsidRPr="001F7208" w:rsidRDefault="00031F31" w:rsidP="00031F31">
            <w:pPr>
              <w:spacing w:after="0" w:line="240" w:lineRule="auto"/>
              <w:jc w:val="both"/>
              <w:rPr>
                <w:rFonts w:ascii="Garamond" w:hAnsi="Garamond"/>
              </w:rPr>
            </w:pPr>
            <w:r w:rsidRPr="001F7208">
              <w:rPr>
                <w:rFonts w:ascii="Garamond" w:hAnsi="Garamond"/>
              </w:rPr>
              <w:t>I criteri di selezione degli operatori economici rispettano il principio di non discriminazione e riguardano esclusivamente i seguenti aspetti:</w:t>
            </w:r>
          </w:p>
          <w:p w14:paraId="16D50ECC" w14:textId="77777777" w:rsidR="00031F31" w:rsidRPr="001F7208" w:rsidRDefault="00031F31" w:rsidP="00031F31">
            <w:pPr>
              <w:pStyle w:val="ListParagraph"/>
              <w:numPr>
                <w:ilvl w:val="0"/>
                <w:numId w:val="12"/>
              </w:numPr>
              <w:spacing w:after="0" w:line="240" w:lineRule="auto"/>
              <w:jc w:val="both"/>
              <w:rPr>
                <w:rFonts w:ascii="Garamond" w:hAnsi="Garamond"/>
              </w:rPr>
            </w:pPr>
            <w:r w:rsidRPr="001F7208">
              <w:rPr>
                <w:rFonts w:ascii="Garamond" w:hAnsi="Garamond"/>
              </w:rPr>
              <w:t xml:space="preserve">i requisiti d’idoneità professionale? </w:t>
            </w:r>
          </w:p>
          <w:p w14:paraId="6A305AD2" w14:textId="77777777" w:rsidR="00031F31" w:rsidRDefault="00031F31" w:rsidP="00031F31">
            <w:pPr>
              <w:pStyle w:val="ListParagraph"/>
              <w:numPr>
                <w:ilvl w:val="0"/>
                <w:numId w:val="12"/>
              </w:numPr>
              <w:spacing w:after="0" w:line="240" w:lineRule="auto"/>
              <w:jc w:val="both"/>
              <w:rPr>
                <w:rFonts w:ascii="Garamond" w:hAnsi="Garamond"/>
              </w:rPr>
            </w:pPr>
            <w:r w:rsidRPr="001F7208">
              <w:rPr>
                <w:rFonts w:ascii="Garamond" w:hAnsi="Garamond"/>
              </w:rPr>
              <w:t>la capacità economica e finanziaria?</w:t>
            </w:r>
          </w:p>
          <w:p w14:paraId="21C62085" w14:textId="3A0EF095" w:rsidR="00031F31" w:rsidRPr="001F7208" w:rsidRDefault="00031F31" w:rsidP="00031F31">
            <w:pPr>
              <w:pStyle w:val="ListParagraph"/>
              <w:numPr>
                <w:ilvl w:val="0"/>
                <w:numId w:val="12"/>
              </w:numPr>
              <w:spacing w:after="0" w:line="240" w:lineRule="auto"/>
              <w:jc w:val="both"/>
              <w:rPr>
                <w:rFonts w:ascii="Garamond" w:hAnsi="Garamond"/>
              </w:rPr>
            </w:pPr>
            <w:r w:rsidRPr="001F7208">
              <w:rPr>
                <w:rFonts w:ascii="Garamond" w:hAnsi="Garamond"/>
              </w:rPr>
              <w:t>le capacità tecniche e professionali?</w:t>
            </w:r>
          </w:p>
        </w:tc>
        <w:tc>
          <w:tcPr>
            <w:tcW w:w="133" w:type="pct"/>
            <w:shd w:val="clear" w:color="auto" w:fill="auto"/>
            <w:vAlign w:val="center"/>
          </w:tcPr>
          <w:p w14:paraId="48DA467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8CD126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E47B97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0A3893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7B71689A" w14:textId="77777777" w:rsidR="008D100A" w:rsidRPr="00E67DD2" w:rsidRDefault="008D100A" w:rsidP="008D100A">
            <w:pPr>
              <w:spacing w:after="0" w:line="240" w:lineRule="auto"/>
              <w:jc w:val="both"/>
              <w:rPr>
                <w:rFonts w:ascii="Garamond" w:eastAsia="Times New Roman" w:hAnsi="Garamond" w:cs="Times New Roman"/>
                <w:color w:val="2F5496" w:themeColor="accent1" w:themeShade="BF"/>
                <w:lang w:eastAsia="it-IT"/>
              </w:rPr>
            </w:pPr>
            <w:r w:rsidRPr="00E67DD2">
              <w:rPr>
                <w:rFonts w:ascii="Garamond" w:eastAsia="Times New Roman" w:hAnsi="Garamond" w:cs="Times New Roman"/>
                <w:color w:val="2F5496" w:themeColor="accent1" w:themeShade="BF"/>
                <w:lang w:eastAsia="it-IT"/>
              </w:rPr>
              <w:t xml:space="preserve">N.B. A decorrere da 31 dicembre 2024, il d. lgs. 209/2024 ha introdotto una modifica rispetto alla definizione dei requisiti di capacità economico finanziaria e tecnico organizzativa , prevedendo la possibilità di richiedere quale requisito di capacità economica e finanziaria un fatturato globale non superiore al doppio del valore stimato dell’appalto, </w:t>
            </w:r>
            <w:r w:rsidRPr="00E67DD2">
              <w:rPr>
                <w:rFonts w:ascii="Garamond" w:eastAsia="Times New Roman" w:hAnsi="Garamond" w:cs="Times New Roman"/>
                <w:color w:val="2F5496" w:themeColor="accent1" w:themeShade="BF"/>
                <w:lang w:eastAsia="it-IT"/>
              </w:rPr>
              <w:lastRenderedPageBreak/>
              <w:t xml:space="preserve">maturato nel triennio precedente maturato nei migliori tre anni degli ultimi cinque anni precedenti a quello di indizione della procedura e quale requisito di capacità tecnica e professionale di aver eseguito nel precedente triennio negli ultimi dieci </w:t>
            </w:r>
          </w:p>
          <w:p w14:paraId="3C5510E2" w14:textId="2524B95C" w:rsidR="00031F31" w:rsidRPr="00E67DD2" w:rsidRDefault="008D100A" w:rsidP="00031F31">
            <w:pPr>
              <w:spacing w:after="0" w:line="240" w:lineRule="auto"/>
              <w:jc w:val="both"/>
              <w:rPr>
                <w:rFonts w:ascii="Garamond" w:eastAsia="Times New Roman" w:hAnsi="Garamond" w:cs="Times New Roman"/>
                <w:color w:val="2F5496" w:themeColor="accent1" w:themeShade="BF"/>
                <w:lang w:eastAsia="it-IT"/>
              </w:rPr>
            </w:pPr>
            <w:r w:rsidRPr="00E67DD2">
              <w:rPr>
                <w:rFonts w:ascii="Garamond" w:eastAsia="Times New Roman" w:hAnsi="Garamond" w:cs="Times New Roman"/>
                <w:color w:val="2F5496" w:themeColor="accent1" w:themeShade="BF"/>
                <w:lang w:eastAsia="it-IT"/>
              </w:rPr>
              <w:t>anni dalla data di indizione della procedura di gara contratti analoghi a quello in affidamento anche a favore di soggetti privati.</w:t>
            </w:r>
          </w:p>
        </w:tc>
        <w:tc>
          <w:tcPr>
            <w:tcW w:w="399" w:type="pct"/>
            <w:shd w:val="clear" w:color="auto" w:fill="auto"/>
            <w:vAlign w:val="center"/>
          </w:tcPr>
          <w:p w14:paraId="2CD3BB41" w14:textId="7E9885E1" w:rsidR="00031F31" w:rsidRPr="00E67DD2"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51C36FE6" w14:textId="10CA11D1" w:rsidR="00031F31" w:rsidRDefault="00031F31" w:rsidP="00031F31">
            <w:pPr>
              <w:spacing w:after="0" w:line="240" w:lineRule="auto"/>
              <w:jc w:val="both"/>
              <w:rPr>
                <w:rFonts w:ascii="Garamond" w:eastAsia="Times New Roman" w:hAnsi="Garamond" w:cs="Times New Roman"/>
                <w:color w:val="000000"/>
                <w:lang w:eastAsia="it-IT"/>
              </w:rPr>
            </w:pPr>
          </w:p>
          <w:p w14:paraId="51A8A8BD" w14:textId="1422DDFF" w:rsidR="00031F31" w:rsidRPr="00AD0ADE"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4E5E40DD" w14:textId="77777777" w:rsidR="00031F31" w:rsidRPr="00AD0ADE"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10EB2ED6" w14:textId="77777777" w:rsidR="00031F31" w:rsidRPr="00023F3C"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870E35" w:rsidRPr="00023F3C" w14:paraId="4AC7DB5B" w14:textId="77777777" w:rsidTr="00992F19">
        <w:trPr>
          <w:trHeight w:val="1114"/>
        </w:trPr>
        <w:tc>
          <w:tcPr>
            <w:tcW w:w="354" w:type="pct"/>
            <w:shd w:val="clear" w:color="auto" w:fill="auto"/>
            <w:vAlign w:val="center"/>
          </w:tcPr>
          <w:p w14:paraId="44C73A4A" w14:textId="1BB80326" w:rsidR="00870E35" w:rsidRDefault="00870E35" w:rsidP="00870E35">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371" w:type="pct"/>
            <w:shd w:val="clear" w:color="auto" w:fill="auto"/>
            <w:vAlign w:val="center"/>
          </w:tcPr>
          <w:p w14:paraId="2A14033F" w14:textId="3AF66345" w:rsidR="00870E35" w:rsidRDefault="00870E35" w:rsidP="00870E35">
            <w:pPr>
              <w:spacing w:after="0" w:line="240" w:lineRule="auto"/>
              <w:jc w:val="both"/>
              <w:rPr>
                <w:rFonts w:ascii="Garamond" w:hAnsi="Garamond"/>
              </w:rPr>
            </w:pPr>
            <w:r w:rsidRPr="00997CB5">
              <w:rPr>
                <w:rFonts w:ascii="Garamond" w:hAnsi="Garamond"/>
              </w:rPr>
              <w:t xml:space="preserve">La </w:t>
            </w:r>
            <w:r>
              <w:rPr>
                <w:rFonts w:ascii="Garamond" w:hAnsi="Garamond"/>
              </w:rPr>
              <w:t>decisione di contrarre</w:t>
            </w:r>
            <w:r w:rsidRPr="00997CB5">
              <w:rPr>
                <w:rFonts w:ascii="Garamond" w:hAnsi="Garamond"/>
              </w:rPr>
              <w:t xml:space="preserve"> contiene la motivazione, ai sensi di quanto previsto dall’art. 58 del D. Lgs. 36/2023, nel caso in cui non si sia suddiviso l’appalto in lotti?</w:t>
            </w:r>
          </w:p>
        </w:tc>
        <w:tc>
          <w:tcPr>
            <w:tcW w:w="133" w:type="pct"/>
            <w:shd w:val="clear" w:color="auto" w:fill="auto"/>
            <w:vAlign w:val="center"/>
          </w:tcPr>
          <w:p w14:paraId="5CCD63F9" w14:textId="77777777" w:rsidR="00870E35" w:rsidRPr="00023F3C" w:rsidRDefault="00870E35" w:rsidP="00870E35">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E812A5D" w14:textId="77777777" w:rsidR="00870E35" w:rsidRPr="00023F3C" w:rsidRDefault="00870E35" w:rsidP="00870E35">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C4302A2" w14:textId="77777777" w:rsidR="00870E35" w:rsidRPr="00023F3C" w:rsidRDefault="00870E35" w:rsidP="00870E35">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1C8DA51" w14:textId="77777777" w:rsidR="00870E35" w:rsidRPr="00023F3C" w:rsidRDefault="00870E35" w:rsidP="00870E35">
            <w:pPr>
              <w:spacing w:after="0" w:line="240" w:lineRule="auto"/>
              <w:jc w:val="both"/>
              <w:rPr>
                <w:rFonts w:ascii="Garamond" w:eastAsia="Times New Roman" w:hAnsi="Garamond" w:cs="Times New Roman"/>
                <w:b/>
                <w:bCs/>
                <w:color w:val="000000"/>
                <w:lang w:eastAsia="it-IT"/>
              </w:rPr>
            </w:pPr>
          </w:p>
        </w:tc>
        <w:tc>
          <w:tcPr>
            <w:tcW w:w="662" w:type="pct"/>
            <w:vAlign w:val="center"/>
          </w:tcPr>
          <w:p w14:paraId="516C2A9E" w14:textId="77777777" w:rsidR="00870E35" w:rsidRPr="00023F3C" w:rsidRDefault="00870E35" w:rsidP="00870E35">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3DABDD65" w14:textId="77777777" w:rsidR="00870E35" w:rsidRPr="00023F3C" w:rsidRDefault="00870E35" w:rsidP="00870E35">
            <w:pPr>
              <w:spacing w:after="0" w:line="240" w:lineRule="auto"/>
              <w:jc w:val="both"/>
              <w:rPr>
                <w:rFonts w:ascii="Garamond" w:eastAsia="Times New Roman" w:hAnsi="Garamond" w:cs="Times New Roman"/>
                <w:b/>
                <w:bCs/>
                <w:color w:val="000000"/>
                <w:lang w:eastAsia="it-IT"/>
              </w:rPr>
            </w:pPr>
          </w:p>
        </w:tc>
        <w:tc>
          <w:tcPr>
            <w:tcW w:w="1151" w:type="pct"/>
            <w:vAlign w:val="center"/>
          </w:tcPr>
          <w:p w14:paraId="0559380C" w14:textId="7272BD6B" w:rsidR="00870E35" w:rsidRPr="00AD0ADE" w:rsidRDefault="00870E35" w:rsidP="00870E35">
            <w:pPr>
              <w:spacing w:after="0" w:line="240" w:lineRule="auto"/>
              <w:jc w:val="both"/>
              <w:rPr>
                <w:rFonts w:ascii="Garamond" w:eastAsia="Times New Roman" w:hAnsi="Garamond" w:cs="Times New Roman"/>
                <w:color w:val="000000"/>
                <w:lang w:eastAsia="it-IT"/>
              </w:rPr>
            </w:pPr>
            <w:r w:rsidRPr="000A5DF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r w:rsidRPr="000A5DF4">
              <w:rPr>
                <w:rFonts w:ascii="Garamond" w:eastAsia="Times New Roman" w:hAnsi="Garamond" w:cs="Times New Roman"/>
                <w:color w:val="000000"/>
                <w:lang w:eastAsia="it-IT"/>
              </w:rPr>
              <w:t xml:space="preserve"> </w:t>
            </w:r>
          </w:p>
        </w:tc>
      </w:tr>
      <w:tr w:rsidR="00031F31" w:rsidRPr="00023F3C" w14:paraId="1734FEB3" w14:textId="77777777" w:rsidTr="00B277D2">
        <w:trPr>
          <w:trHeight w:val="1114"/>
        </w:trPr>
        <w:tc>
          <w:tcPr>
            <w:tcW w:w="354" w:type="pct"/>
            <w:shd w:val="clear" w:color="auto" w:fill="auto"/>
            <w:vAlign w:val="center"/>
          </w:tcPr>
          <w:p w14:paraId="6F54A42A" w14:textId="2B10D965" w:rsidR="00031F31" w:rsidRDefault="00B1010E"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371" w:type="pct"/>
            <w:shd w:val="clear" w:color="auto" w:fill="auto"/>
            <w:vAlign w:val="center"/>
          </w:tcPr>
          <w:p w14:paraId="1D2ACB88" w14:textId="7E334957" w:rsidR="00031F31" w:rsidRPr="00ED7D15" w:rsidRDefault="00031F31" w:rsidP="00031F31">
            <w:pPr>
              <w:spacing w:after="0" w:line="240" w:lineRule="auto"/>
              <w:jc w:val="both"/>
              <w:rPr>
                <w:rFonts w:ascii="Garamond" w:hAnsi="Garamond"/>
              </w:rPr>
            </w:pPr>
            <w:r>
              <w:rPr>
                <w:rFonts w:ascii="Garamond" w:hAnsi="Garamond"/>
              </w:rPr>
              <w:t>I soggetti invitati a presentare offerta sono stati selezionati a seguito di indagine di mercato o attingendo dall’elenco degli operatori economici?</w:t>
            </w:r>
          </w:p>
        </w:tc>
        <w:tc>
          <w:tcPr>
            <w:tcW w:w="133" w:type="pct"/>
            <w:shd w:val="clear" w:color="auto" w:fill="auto"/>
            <w:vAlign w:val="center"/>
          </w:tcPr>
          <w:p w14:paraId="0DCEE60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55AF77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DD4DCDD"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A29C01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08DF0FC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7EBACF80" w14:textId="69554FB0"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354FA92D" w14:textId="77777777"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5FB75497" w14:textId="0F945AA0"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Elenco degli operatori economici</w:t>
            </w:r>
          </w:p>
        </w:tc>
      </w:tr>
      <w:tr w:rsidR="00031F31" w:rsidRPr="00023F3C" w14:paraId="4A7C6DAC" w14:textId="77777777" w:rsidTr="00B277D2">
        <w:trPr>
          <w:trHeight w:val="1417"/>
        </w:trPr>
        <w:tc>
          <w:tcPr>
            <w:tcW w:w="354" w:type="pct"/>
            <w:shd w:val="clear" w:color="auto" w:fill="auto"/>
            <w:vAlign w:val="center"/>
          </w:tcPr>
          <w:p w14:paraId="64737223" w14:textId="3FE46574" w:rsidR="00031F31" w:rsidRDefault="00B1010E"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371" w:type="pct"/>
            <w:shd w:val="clear" w:color="auto" w:fill="auto"/>
            <w:vAlign w:val="center"/>
          </w:tcPr>
          <w:p w14:paraId="3BEE85DA" w14:textId="13B1DEA8" w:rsidR="00031F31" w:rsidRDefault="00031F31" w:rsidP="00031F31">
            <w:pPr>
              <w:spacing w:after="0" w:line="240" w:lineRule="auto"/>
              <w:jc w:val="both"/>
              <w:rPr>
                <w:rFonts w:ascii="Garamond" w:hAnsi="Garamond"/>
              </w:rPr>
            </w:pPr>
            <w:r>
              <w:rPr>
                <w:rFonts w:ascii="Garamond" w:hAnsi="Garamond"/>
              </w:rPr>
              <w:t>Per la selezione dei soggetti da invitare</w:t>
            </w:r>
            <w:r w:rsidRPr="0017400F">
              <w:rPr>
                <w:rFonts w:ascii="Garamond" w:hAnsi="Garamond"/>
              </w:rPr>
              <w:t xml:space="preserve"> il sorteggio o altro metodo di estrazione casuale dei nominativi, sono stati utilizzati esclusivamente   in presenza di situazioni particolari e specificamente motivate</w:t>
            </w:r>
          </w:p>
        </w:tc>
        <w:tc>
          <w:tcPr>
            <w:tcW w:w="133" w:type="pct"/>
            <w:shd w:val="clear" w:color="auto" w:fill="auto"/>
            <w:vAlign w:val="center"/>
          </w:tcPr>
          <w:p w14:paraId="4891CD9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C88178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BFC814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0F90AD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4B608F7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3D229A59" w14:textId="2BBEA22E"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33FD4B66" w14:textId="56BD042C"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r w:rsidRPr="00AD0ADE">
              <w:rPr>
                <w:rFonts w:ascii="Garamond" w:eastAsia="Times New Roman" w:hAnsi="Garamond" w:cs="Times New Roman"/>
                <w:color w:val="000000"/>
                <w:lang w:eastAsia="it-IT"/>
              </w:rPr>
              <w:t xml:space="preserve">  </w:t>
            </w:r>
          </w:p>
          <w:p w14:paraId="21A9A2EB" w14:textId="5F325DA7"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73882EE8" w14:textId="03DBE0E0" w:rsidR="00031F31" w:rsidRPr="00AD0ADE"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Elenco degli operatori economici</w:t>
            </w:r>
          </w:p>
        </w:tc>
      </w:tr>
      <w:tr w:rsidR="00031F31" w:rsidRPr="00023F3C" w14:paraId="73ADCA08" w14:textId="77777777" w:rsidTr="00B277D2">
        <w:trPr>
          <w:trHeight w:val="1417"/>
        </w:trPr>
        <w:tc>
          <w:tcPr>
            <w:tcW w:w="354" w:type="pct"/>
            <w:shd w:val="clear" w:color="auto" w:fill="auto"/>
            <w:vAlign w:val="center"/>
          </w:tcPr>
          <w:p w14:paraId="252872DE" w14:textId="160508A9" w:rsidR="00031F31" w:rsidRDefault="00B1010E"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371" w:type="pct"/>
            <w:shd w:val="clear" w:color="auto" w:fill="auto"/>
            <w:vAlign w:val="center"/>
          </w:tcPr>
          <w:p w14:paraId="1BCB67F9" w14:textId="2C299C66" w:rsidR="00031F31" w:rsidRDefault="00031F31" w:rsidP="00031F31">
            <w:pPr>
              <w:spacing w:after="0" w:line="240" w:lineRule="auto"/>
              <w:jc w:val="both"/>
              <w:rPr>
                <w:rFonts w:ascii="Garamond" w:hAnsi="Garamond"/>
              </w:rPr>
            </w:pPr>
            <w:r w:rsidRPr="0017400F">
              <w:rPr>
                <w:rFonts w:ascii="Garamond" w:hAnsi="Garamond"/>
              </w:rPr>
              <w:t xml:space="preserve">La </w:t>
            </w:r>
            <w:r>
              <w:rPr>
                <w:rFonts w:ascii="Garamond" w:hAnsi="Garamond"/>
              </w:rPr>
              <w:t>Stazione Appaltante</w:t>
            </w:r>
            <w:r w:rsidRPr="0017400F">
              <w:rPr>
                <w:rFonts w:ascii="Garamond" w:hAnsi="Garamond"/>
              </w:rPr>
              <w:t xml:space="preserve"> ha pubblicato sul proprio sito istituzionale i nominativi degli operatori consultati?</w:t>
            </w:r>
            <w:r>
              <w:rPr>
                <w:rFonts w:ascii="Calibri" w:hAnsi="Calibri" w:cs="Calibri"/>
                <w:color w:val="000000"/>
                <w:sz w:val="27"/>
                <w:szCs w:val="27"/>
                <w:shd w:val="clear" w:color="auto" w:fill="F5FDFE"/>
              </w:rPr>
              <w:t xml:space="preserve"> </w:t>
            </w:r>
          </w:p>
        </w:tc>
        <w:tc>
          <w:tcPr>
            <w:tcW w:w="133" w:type="pct"/>
            <w:shd w:val="clear" w:color="auto" w:fill="auto"/>
            <w:vAlign w:val="center"/>
          </w:tcPr>
          <w:p w14:paraId="65606D3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F4A7B7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76F960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EDBE99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75ABC92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59DAF55" w14:textId="0F6375D3"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75E4A040" w14:textId="77777777"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sito committente </w:t>
            </w:r>
          </w:p>
          <w:p w14:paraId="1D5C296C" w14:textId="4E02F20C" w:rsidR="00031F31" w:rsidRDefault="00031F31" w:rsidP="00031F31">
            <w:pPr>
              <w:spacing w:after="0" w:line="240" w:lineRule="auto"/>
              <w:jc w:val="both"/>
              <w:rPr>
                <w:rFonts w:ascii="Garamond" w:eastAsia="Times New Roman" w:hAnsi="Garamond" w:cs="Times New Roman"/>
                <w:color w:val="000000"/>
                <w:lang w:eastAsia="it-IT"/>
              </w:rPr>
            </w:pPr>
          </w:p>
        </w:tc>
      </w:tr>
      <w:tr w:rsidR="00031F31" w:rsidRPr="00023F3C" w14:paraId="59BABEBF" w14:textId="77777777" w:rsidTr="00B277D2">
        <w:trPr>
          <w:trHeight w:val="1417"/>
        </w:trPr>
        <w:tc>
          <w:tcPr>
            <w:tcW w:w="354" w:type="pct"/>
            <w:shd w:val="clear" w:color="auto" w:fill="auto"/>
            <w:vAlign w:val="center"/>
          </w:tcPr>
          <w:p w14:paraId="595AD70E" w14:textId="16AC47F4" w:rsidR="00031F31" w:rsidRDefault="00B1010E" w:rsidP="00730284">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371" w:type="pct"/>
            <w:shd w:val="clear" w:color="auto" w:fill="auto"/>
            <w:vAlign w:val="center"/>
          </w:tcPr>
          <w:p w14:paraId="45878988" w14:textId="77777777" w:rsidR="00031F31" w:rsidRPr="0017400F" w:rsidRDefault="00031F31" w:rsidP="00031F31">
            <w:pPr>
              <w:spacing w:after="0" w:line="240" w:lineRule="auto"/>
              <w:jc w:val="both"/>
              <w:rPr>
                <w:rFonts w:ascii="Garamond" w:hAnsi="Garamond"/>
              </w:rPr>
            </w:pPr>
            <w:r w:rsidRPr="0017400F">
              <w:rPr>
                <w:rFonts w:ascii="Garamond" w:hAnsi="Garamond"/>
              </w:rPr>
              <w:t>Nel caso di utilizzo dell’indagine di mercato mediante Avviso esplorativo:</w:t>
            </w:r>
          </w:p>
          <w:p w14:paraId="30EEA538" w14:textId="1A2C81DC" w:rsidR="00031F31" w:rsidRPr="0017400F" w:rsidRDefault="00031F31" w:rsidP="00031F31">
            <w:pPr>
              <w:pStyle w:val="ListParagraph"/>
              <w:numPr>
                <w:ilvl w:val="0"/>
                <w:numId w:val="23"/>
              </w:numPr>
              <w:spacing w:after="0" w:line="240" w:lineRule="auto"/>
              <w:jc w:val="both"/>
              <w:rPr>
                <w:rFonts w:ascii="Garamond" w:hAnsi="Garamond"/>
              </w:rPr>
            </w:pPr>
            <w:r w:rsidRPr="0017400F">
              <w:rPr>
                <w:rFonts w:ascii="Garamond" w:hAnsi="Garamond"/>
              </w:rPr>
              <w:t>lo stesso è stato pubb</w:t>
            </w:r>
            <w:r>
              <w:rPr>
                <w:rFonts w:ascii="Garamond" w:hAnsi="Garamond"/>
              </w:rPr>
              <w:t>l</w:t>
            </w:r>
            <w:r w:rsidRPr="0017400F">
              <w:rPr>
                <w:rFonts w:ascii="Garamond" w:hAnsi="Garamond"/>
              </w:rPr>
              <w:t>icato sul sito istituzionale e sulla Banca dati nazionale dei contratti pubblici dell’ANAC per un periodo minimo di 15 giorni</w:t>
            </w:r>
            <w:r>
              <w:rPr>
                <w:rFonts w:ascii="Garamond" w:hAnsi="Garamond"/>
              </w:rPr>
              <w:t>?</w:t>
            </w:r>
          </w:p>
          <w:p w14:paraId="36D73D72" w14:textId="69D23E4B" w:rsidR="00031F31" w:rsidRDefault="00031F31" w:rsidP="00031F31">
            <w:pPr>
              <w:pStyle w:val="ListParagraph"/>
              <w:numPr>
                <w:ilvl w:val="0"/>
                <w:numId w:val="23"/>
              </w:numPr>
              <w:spacing w:after="0" w:line="240" w:lineRule="auto"/>
              <w:jc w:val="both"/>
              <w:rPr>
                <w:rFonts w:ascii="Garamond" w:hAnsi="Garamond"/>
              </w:rPr>
            </w:pPr>
            <w:r w:rsidRPr="0017400F">
              <w:rPr>
                <w:rFonts w:ascii="Garamond" w:hAnsi="Garamond"/>
              </w:rPr>
              <w:t xml:space="preserve">indica il valore dell’affidamento, gli elementi essenziali del contratto, i requisiti di idoneità professionale, i requisiti minimi di capacità economica e finanziaria e le capacità tecniche e professionali richieste ai fini della partecipazione, il numero minimo ed eventualmente massimo di operatori che saranno invitati alla procedura, i criteri di selezione degli operatori economici, le </w:t>
            </w:r>
            <w:r w:rsidRPr="0017400F">
              <w:rPr>
                <w:rFonts w:ascii="Garamond" w:hAnsi="Garamond"/>
              </w:rPr>
              <w:lastRenderedPageBreak/>
              <w:t xml:space="preserve">modalità per comunicare con la </w:t>
            </w:r>
            <w:r>
              <w:rPr>
                <w:rFonts w:ascii="Garamond" w:hAnsi="Garamond"/>
              </w:rPr>
              <w:t>Stazione Appaltante?</w:t>
            </w:r>
          </w:p>
          <w:p w14:paraId="0CF92934" w14:textId="5F1F56CD" w:rsidR="00031F31" w:rsidRPr="006252D2" w:rsidRDefault="00031F31" w:rsidP="00031F31">
            <w:pPr>
              <w:pStyle w:val="ListParagraph"/>
              <w:numPr>
                <w:ilvl w:val="0"/>
                <w:numId w:val="23"/>
              </w:numPr>
              <w:spacing w:after="0" w:line="240" w:lineRule="auto"/>
              <w:jc w:val="both"/>
              <w:rPr>
                <w:rFonts w:ascii="Garamond" w:hAnsi="Garamond"/>
              </w:rPr>
            </w:pPr>
            <w:r w:rsidRPr="006252D2">
              <w:rPr>
                <w:rFonts w:ascii="Garamond" w:hAnsi="Garamond"/>
              </w:rPr>
              <w:t xml:space="preserve">nel caso in cui sia previsto un numero massimo di operatori da invitare, l’avviso di avvio dell’indagine di mercato indica anche i criteri utilizzati per la scelta degli operatori? </w:t>
            </w:r>
          </w:p>
        </w:tc>
        <w:tc>
          <w:tcPr>
            <w:tcW w:w="133" w:type="pct"/>
            <w:shd w:val="clear" w:color="auto" w:fill="auto"/>
            <w:vAlign w:val="center"/>
          </w:tcPr>
          <w:p w14:paraId="4DAE5FB2"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59A052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0C4B30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515428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5CE47974" w14:textId="1261034A" w:rsidR="00031F31" w:rsidRPr="00023F3C" w:rsidRDefault="007B663B" w:rsidP="00031F31">
            <w:pPr>
              <w:spacing w:after="0" w:line="240" w:lineRule="auto"/>
              <w:jc w:val="both"/>
              <w:rPr>
                <w:rFonts w:ascii="Garamond" w:eastAsia="Times New Roman" w:hAnsi="Garamond" w:cs="Times New Roman"/>
                <w:b/>
                <w:bCs/>
                <w:color w:val="000000"/>
                <w:lang w:eastAsia="it-IT"/>
              </w:rPr>
            </w:pPr>
            <w:r w:rsidRPr="007B663B">
              <w:rPr>
                <w:rFonts w:ascii="Garamond" w:eastAsia="Times New Roman" w:hAnsi="Garamond" w:cs="Times New Roman"/>
                <w:color w:val="2F5496" w:themeColor="accent1" w:themeShade="BF"/>
                <w:lang w:eastAsia="it-IT"/>
              </w:rPr>
              <w:t>N.B. A partire dal 31 dicembre 2024, ai sensi del D. Lgs. 209/2024, le stazioni appaltanti devono pubblicare l’avvio di una consultazione sul proprio sito istituzionale.</w:t>
            </w:r>
          </w:p>
        </w:tc>
        <w:tc>
          <w:tcPr>
            <w:tcW w:w="399" w:type="pct"/>
            <w:shd w:val="clear" w:color="auto" w:fill="auto"/>
            <w:vAlign w:val="center"/>
          </w:tcPr>
          <w:p w14:paraId="5BA5076F" w14:textId="390A5826"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5079CA3" w14:textId="77777777"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manifestazione di interesse</w:t>
            </w:r>
          </w:p>
          <w:p w14:paraId="651B0C7B" w14:textId="77777777" w:rsidR="00031F31" w:rsidRDefault="00031F31" w:rsidP="00031F31">
            <w:pPr>
              <w:spacing w:after="0" w:line="240" w:lineRule="auto"/>
              <w:jc w:val="both"/>
              <w:rPr>
                <w:rFonts w:ascii="Garamond" w:eastAsia="Times New Roman" w:hAnsi="Garamond" w:cs="Times New Roman"/>
                <w:color w:val="000000"/>
                <w:lang w:eastAsia="it-IT"/>
              </w:rPr>
            </w:pPr>
          </w:p>
        </w:tc>
      </w:tr>
      <w:tr w:rsidR="00031F31" w:rsidRPr="00023F3C" w14:paraId="1804F279" w14:textId="77777777" w:rsidTr="00B277D2">
        <w:trPr>
          <w:trHeight w:val="1417"/>
        </w:trPr>
        <w:tc>
          <w:tcPr>
            <w:tcW w:w="354" w:type="pct"/>
            <w:shd w:val="clear" w:color="auto" w:fill="auto"/>
            <w:vAlign w:val="center"/>
          </w:tcPr>
          <w:p w14:paraId="64EA4D10" w14:textId="43281EC9" w:rsidR="00031F31" w:rsidRDefault="00B1010E"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371" w:type="pct"/>
            <w:shd w:val="clear" w:color="auto" w:fill="auto"/>
            <w:vAlign w:val="center"/>
          </w:tcPr>
          <w:p w14:paraId="0B9B5EA5" w14:textId="1B053272" w:rsidR="00031F31" w:rsidRDefault="00031F31" w:rsidP="00031F31">
            <w:pPr>
              <w:spacing w:after="0" w:line="240" w:lineRule="auto"/>
              <w:jc w:val="both"/>
              <w:rPr>
                <w:rFonts w:ascii="Garamond" w:hAnsi="Garamond"/>
              </w:rPr>
            </w:pPr>
            <w:r>
              <w:rPr>
                <w:rFonts w:ascii="Garamond" w:hAnsi="Garamond"/>
              </w:rPr>
              <w:t>Qualora ci siano rischi da interferenza è stato redatto il DUVRI (art. 26 del d.lgs. 81/2008)?</w:t>
            </w:r>
          </w:p>
        </w:tc>
        <w:tc>
          <w:tcPr>
            <w:tcW w:w="133" w:type="pct"/>
            <w:shd w:val="clear" w:color="auto" w:fill="auto"/>
            <w:vAlign w:val="center"/>
          </w:tcPr>
          <w:p w14:paraId="628A8EC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894098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23FA5A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EC34832"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2188C13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64B56D0B" w14:textId="29F11A40"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F2538C2" w14:textId="77777777"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71FF2452" w14:textId="3FFB486D"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4D9F96E8" w14:textId="03CD6861"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6AAD5E3B" w14:textId="1690F3ED" w:rsidR="00031F31" w:rsidRPr="00AD0ADE"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031F31" w:rsidRPr="00023F3C" w14:paraId="19C184CD" w14:textId="77777777" w:rsidTr="00B277D2">
        <w:trPr>
          <w:trHeight w:val="683"/>
        </w:trPr>
        <w:tc>
          <w:tcPr>
            <w:tcW w:w="354" w:type="pct"/>
            <w:shd w:val="clear" w:color="auto" w:fill="auto"/>
            <w:vAlign w:val="center"/>
          </w:tcPr>
          <w:p w14:paraId="10D6DB29" w14:textId="4195D8EB" w:rsidR="00031F31" w:rsidRDefault="00B1010E"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371" w:type="pct"/>
            <w:shd w:val="clear" w:color="auto" w:fill="auto"/>
            <w:vAlign w:val="center"/>
          </w:tcPr>
          <w:p w14:paraId="7A5BD991" w14:textId="1C85D4A1" w:rsidR="00031F31" w:rsidRPr="000F6747" w:rsidRDefault="00031F31" w:rsidP="00031F31">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0F6747">
              <w:rPr>
                <w:rFonts w:ascii="Garamond" w:eastAsiaTheme="minorHAnsi" w:hAnsi="Garamond" w:cstheme="minorBidi"/>
                <w:sz w:val="22"/>
                <w:szCs w:val="22"/>
              </w:rPr>
              <w:t xml:space="preserve">ono state inserite, nei documenti di gara iniziali, delle clausole di revisione dei prezzi previste dall'articolo </w:t>
            </w:r>
            <w:r>
              <w:rPr>
                <w:rFonts w:ascii="Garamond" w:eastAsiaTheme="minorHAnsi" w:hAnsi="Garamond" w:cstheme="minorBidi"/>
                <w:sz w:val="22"/>
                <w:szCs w:val="22"/>
              </w:rPr>
              <w:t>60 del d.lgs. 36/2023</w:t>
            </w:r>
            <w:r w:rsidRPr="000F6747">
              <w:rPr>
                <w:rFonts w:ascii="Garamond" w:eastAsiaTheme="minorHAnsi" w:hAnsi="Garamond" w:cstheme="minorBidi"/>
                <w:sz w:val="22"/>
                <w:szCs w:val="22"/>
              </w:rPr>
              <w:t>?</w:t>
            </w:r>
          </w:p>
          <w:p w14:paraId="30B69BCB" w14:textId="77777777" w:rsidR="00031F31" w:rsidRDefault="00031F31" w:rsidP="00031F31">
            <w:pPr>
              <w:spacing w:after="0" w:line="240" w:lineRule="auto"/>
              <w:jc w:val="both"/>
              <w:rPr>
                <w:rFonts w:ascii="Garamond" w:hAnsi="Garamond"/>
              </w:rPr>
            </w:pPr>
          </w:p>
        </w:tc>
        <w:tc>
          <w:tcPr>
            <w:tcW w:w="133" w:type="pct"/>
            <w:shd w:val="clear" w:color="auto" w:fill="auto"/>
            <w:vAlign w:val="center"/>
          </w:tcPr>
          <w:p w14:paraId="688387F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90525E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58B7703"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261B078"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76D7B2B0" w14:textId="11800B83" w:rsidR="00031F31" w:rsidRPr="00023F3C" w:rsidRDefault="00031F31" w:rsidP="00031F31">
            <w:pPr>
              <w:spacing w:after="0" w:line="240" w:lineRule="auto"/>
              <w:jc w:val="both"/>
              <w:rPr>
                <w:rFonts w:ascii="Garamond" w:eastAsia="Times New Roman" w:hAnsi="Garamond" w:cs="Times New Roman"/>
                <w:b/>
                <w:bCs/>
                <w:color w:val="000000"/>
                <w:lang w:eastAsia="it-IT"/>
              </w:rPr>
            </w:pPr>
            <w:r w:rsidRPr="00041CB8">
              <w:rPr>
                <w:rFonts w:ascii="Garamond" w:eastAsia="Times New Roman" w:hAnsi="Garamond" w:cs="Times New Roman"/>
                <w:color w:val="2F5496" w:themeColor="accent1" w:themeShade="BF"/>
                <w:lang w:eastAsia="it-IT"/>
              </w:rPr>
              <w:t>N.B.</w:t>
            </w:r>
            <w:r w:rsidRPr="00C42BF5">
              <w:rPr>
                <w:rFonts w:ascii="Garamond" w:eastAsia="Times New Roman" w:hAnsi="Garamond" w:cs="Times New Roman"/>
                <w:color w:val="2F5496" w:themeColor="accent1" w:themeShade="BF"/>
                <w:lang w:eastAsia="it-IT"/>
              </w:rPr>
              <w:t xml:space="preserve"> A partire</w:t>
            </w:r>
            <w:r>
              <w:rPr>
                <w:rFonts w:ascii="Garamond" w:eastAsia="Times New Roman" w:hAnsi="Garamond" w:cs="Times New Roman"/>
                <w:color w:val="2F5496" w:themeColor="accent1" w:themeShade="BF"/>
                <w:lang w:eastAsia="it-IT"/>
              </w:rPr>
              <w:t xml:space="preserve"> dal 31 dicembre 2024, le clausole di revisione dei prezzi sono attivabili, nel caso di contratti di servizi e forniture, una volta superato il 5% in aumento o in diminuzione rispetto all’importo complessivo, e operano nella misura del 80% del valore eccedente tale variazione. Inoltre, a partire dalla </w:t>
            </w:r>
            <w:r>
              <w:rPr>
                <w:rFonts w:ascii="Garamond" w:eastAsia="Times New Roman" w:hAnsi="Garamond" w:cs="Times New Roman"/>
                <w:color w:val="2F5496" w:themeColor="accent1" w:themeShade="BF"/>
                <w:lang w:eastAsia="it-IT"/>
              </w:rPr>
              <w:lastRenderedPageBreak/>
              <w:t>medesima data, le modalità di applicazione e gli indici disponibili sono disciplinati all’Allegato II.2-bis.</w:t>
            </w:r>
          </w:p>
        </w:tc>
        <w:tc>
          <w:tcPr>
            <w:tcW w:w="399" w:type="pct"/>
            <w:shd w:val="clear" w:color="auto" w:fill="auto"/>
            <w:vAlign w:val="center"/>
          </w:tcPr>
          <w:p w14:paraId="78BBA12A" w14:textId="5C7B0766"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5122C397" w14:textId="0DF8E2E4"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3DB66806" w14:textId="6B7DA998" w:rsidR="00031F31" w:rsidRPr="00AD0ADE"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031F31" w:rsidRPr="00023F3C" w14:paraId="60642575" w14:textId="77777777" w:rsidTr="00B277D2">
        <w:trPr>
          <w:trHeight w:val="1022"/>
        </w:trPr>
        <w:tc>
          <w:tcPr>
            <w:tcW w:w="354" w:type="pct"/>
            <w:shd w:val="clear" w:color="auto" w:fill="auto"/>
            <w:vAlign w:val="center"/>
          </w:tcPr>
          <w:p w14:paraId="30105F0D" w14:textId="64E211C7"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1010E">
              <w:rPr>
                <w:rFonts w:ascii="Garamond" w:eastAsia="Times New Roman" w:hAnsi="Garamond" w:cs="Times New Roman"/>
                <w:color w:val="000000"/>
                <w:lang w:eastAsia="it-IT"/>
              </w:rPr>
              <w:t>1</w:t>
            </w:r>
          </w:p>
        </w:tc>
        <w:tc>
          <w:tcPr>
            <w:tcW w:w="1371" w:type="pct"/>
            <w:shd w:val="clear" w:color="auto" w:fill="auto"/>
            <w:vAlign w:val="center"/>
          </w:tcPr>
          <w:p w14:paraId="632A30FC" w14:textId="2583E3BC" w:rsidR="00031F31" w:rsidRPr="005A4388"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 termini indicati nella documentazione di gara rispettano le indicazioni di cui all’art. 92 del D</w:t>
            </w:r>
            <w:r>
              <w:rPr>
                <w:rFonts w:ascii="Garamond" w:hAnsi="Garamond"/>
              </w:rPr>
              <w:t>. L</w:t>
            </w:r>
            <w:r w:rsidRPr="000F6747">
              <w:rPr>
                <w:rFonts w:ascii="Garamond" w:hAnsi="Garamond"/>
              </w:rPr>
              <w:t xml:space="preserve">gs. </w:t>
            </w:r>
            <w:r>
              <w:rPr>
                <w:rFonts w:ascii="Garamond" w:hAnsi="Garamond"/>
              </w:rPr>
              <w:t xml:space="preserve">36/2023? </w:t>
            </w:r>
          </w:p>
        </w:tc>
        <w:tc>
          <w:tcPr>
            <w:tcW w:w="133" w:type="pct"/>
            <w:shd w:val="clear" w:color="auto" w:fill="auto"/>
            <w:vAlign w:val="center"/>
          </w:tcPr>
          <w:p w14:paraId="64A63086"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56A083FB"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66F42553"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3F48C5A2"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1943150E" w14:textId="77777777" w:rsidR="00031F31" w:rsidRPr="00631AC7" w:rsidRDefault="00031F31" w:rsidP="00031F31">
            <w:pPr>
              <w:spacing w:after="0" w:line="240" w:lineRule="auto"/>
              <w:jc w:val="both"/>
              <w:rPr>
                <w:rFonts w:ascii="Garamond" w:eastAsia="Times New Roman" w:hAnsi="Garamond" w:cs="Times New Roman"/>
                <w:color w:val="000000"/>
                <w:highlight w:val="yellow"/>
                <w:lang w:eastAsia="it-IT"/>
              </w:rPr>
            </w:pPr>
          </w:p>
        </w:tc>
        <w:tc>
          <w:tcPr>
            <w:tcW w:w="399" w:type="pct"/>
            <w:shd w:val="clear" w:color="auto" w:fill="auto"/>
            <w:vAlign w:val="center"/>
          </w:tcPr>
          <w:p w14:paraId="65D2A194" w14:textId="0B1755CB" w:rsidR="00031F31" w:rsidRPr="00631AC7" w:rsidRDefault="00031F31" w:rsidP="00031F31">
            <w:pPr>
              <w:spacing w:after="0" w:line="240" w:lineRule="auto"/>
              <w:jc w:val="both"/>
              <w:rPr>
                <w:rFonts w:ascii="Garamond" w:eastAsia="Times New Roman" w:hAnsi="Garamond" w:cs="Times New Roman"/>
                <w:color w:val="000000"/>
                <w:highlight w:val="yellow"/>
                <w:lang w:eastAsia="it-IT"/>
              </w:rPr>
            </w:pPr>
          </w:p>
        </w:tc>
        <w:tc>
          <w:tcPr>
            <w:tcW w:w="1151" w:type="pct"/>
            <w:vAlign w:val="center"/>
          </w:tcPr>
          <w:p w14:paraId="5C8DA0C7" w14:textId="331A4463" w:rsidR="00031F31" w:rsidRDefault="00031F31" w:rsidP="00031F31">
            <w:pPr>
              <w:spacing w:after="0" w:line="240" w:lineRule="auto"/>
              <w:jc w:val="both"/>
              <w:rPr>
                <w:rFonts w:ascii="Garamond" w:eastAsia="Times New Roman" w:hAnsi="Garamond" w:cs="Times New Roman"/>
                <w:color w:val="000000"/>
                <w:lang w:eastAsia="it-IT"/>
              </w:rPr>
            </w:pPr>
          </w:p>
          <w:p w14:paraId="405DCF5B" w14:textId="77777777" w:rsidR="00031F31" w:rsidRDefault="00031F31" w:rsidP="00031F31">
            <w:pPr>
              <w:spacing w:after="0" w:line="240" w:lineRule="auto"/>
              <w:jc w:val="both"/>
              <w:rPr>
                <w:rFonts w:ascii="Garamond" w:eastAsia="Times New Roman" w:hAnsi="Garamond" w:cs="Times New Roman"/>
                <w:color w:val="000000"/>
                <w:lang w:eastAsia="it-IT"/>
              </w:rPr>
            </w:pPr>
          </w:p>
          <w:p w14:paraId="69E8A076" w14:textId="7621BB7A" w:rsidR="00031F31" w:rsidRPr="00AD0ADE"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 </w:t>
            </w:r>
          </w:p>
          <w:p w14:paraId="1C60B6DF" w14:textId="77777777" w:rsidR="00031F31" w:rsidRDefault="00031F31" w:rsidP="00031F31">
            <w:pPr>
              <w:spacing w:after="0" w:line="240" w:lineRule="auto"/>
              <w:jc w:val="both"/>
              <w:rPr>
                <w:rFonts w:ascii="Garamond" w:eastAsia="Times New Roman" w:hAnsi="Garamond" w:cs="Times New Roman"/>
                <w:color w:val="000000"/>
                <w:highlight w:val="yellow"/>
                <w:lang w:eastAsia="it-IT"/>
              </w:rPr>
            </w:pPr>
          </w:p>
          <w:p w14:paraId="4C4DD152" w14:textId="77777777" w:rsidR="00031F31" w:rsidRPr="00683A3C" w:rsidRDefault="00031F31" w:rsidP="00031F31">
            <w:pPr>
              <w:spacing w:after="0" w:line="240" w:lineRule="auto"/>
              <w:jc w:val="both"/>
              <w:rPr>
                <w:rFonts w:ascii="Garamond" w:eastAsia="Times New Roman" w:hAnsi="Garamond" w:cs="Times New Roman"/>
                <w:color w:val="000000"/>
                <w:highlight w:val="yellow"/>
                <w:lang w:eastAsia="it-IT"/>
              </w:rPr>
            </w:pPr>
          </w:p>
        </w:tc>
      </w:tr>
      <w:tr w:rsidR="00031F31" w:rsidRPr="00023F3C" w14:paraId="1D4CB77B" w14:textId="77777777" w:rsidTr="00B277D2">
        <w:trPr>
          <w:trHeight w:val="938"/>
        </w:trPr>
        <w:tc>
          <w:tcPr>
            <w:tcW w:w="354" w:type="pct"/>
            <w:shd w:val="clear" w:color="auto" w:fill="auto"/>
            <w:vAlign w:val="center"/>
          </w:tcPr>
          <w:p w14:paraId="7CFDDE34" w14:textId="1F42A42F"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1010E">
              <w:rPr>
                <w:rFonts w:ascii="Garamond" w:eastAsia="Times New Roman" w:hAnsi="Garamond" w:cs="Times New Roman"/>
                <w:color w:val="000000"/>
                <w:lang w:eastAsia="it-IT"/>
              </w:rPr>
              <w:t>2</w:t>
            </w:r>
          </w:p>
        </w:tc>
        <w:tc>
          <w:tcPr>
            <w:tcW w:w="1371" w:type="pct"/>
            <w:shd w:val="clear" w:color="auto" w:fill="auto"/>
            <w:vAlign w:val="center"/>
          </w:tcPr>
          <w:p w14:paraId="324275E4" w14:textId="77777777" w:rsidR="00031F31" w:rsidRPr="00683A3C" w:rsidRDefault="00031F31" w:rsidP="00031F31">
            <w:pPr>
              <w:spacing w:after="0" w:line="240" w:lineRule="auto"/>
              <w:jc w:val="both"/>
              <w:rPr>
                <w:rFonts w:ascii="Garamond" w:eastAsia="Times New Roman" w:hAnsi="Garamond" w:cs="Times New Roman"/>
                <w:color w:val="000000"/>
                <w:highlight w:val="yellow"/>
                <w:lang w:eastAsia="it-IT"/>
              </w:rPr>
            </w:pPr>
            <w:r w:rsidRPr="003A3200">
              <w:rPr>
                <w:rFonts w:ascii="Garamond" w:eastAsia="Times New Roman" w:hAnsi="Garamond" w:cs="Times New Roman"/>
                <w:color w:val="000000"/>
                <w:lang w:eastAsia="it-IT"/>
              </w:rPr>
              <w:t>In caso di richieste di chiarimenti in merito alla documentazione di gara, le risposte sono state messe a disposizione di tutti gli operatori economici?</w:t>
            </w:r>
          </w:p>
        </w:tc>
        <w:tc>
          <w:tcPr>
            <w:tcW w:w="133" w:type="pct"/>
            <w:shd w:val="clear" w:color="auto" w:fill="auto"/>
            <w:vAlign w:val="center"/>
          </w:tcPr>
          <w:p w14:paraId="3AB16F30"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44036997"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51F6A7F0"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7E95731B"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63684CD0" w14:textId="5D7F4BF0" w:rsidR="00031F31" w:rsidRPr="00683A3C" w:rsidRDefault="00031F31" w:rsidP="00384A68">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466DD99B" w14:textId="1C82DD16"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7F41E074" w14:textId="77777777" w:rsidR="00031F31" w:rsidRPr="00683A3C" w:rsidRDefault="00031F31" w:rsidP="00031F31">
            <w:pPr>
              <w:spacing w:after="0" w:line="240" w:lineRule="auto"/>
              <w:jc w:val="both"/>
              <w:rPr>
                <w:rFonts w:ascii="Garamond" w:eastAsia="Times New Roman" w:hAnsi="Garamond" w:cs="Times New Roman"/>
                <w:color w:val="000000"/>
                <w:highlight w:val="yellow"/>
                <w:lang w:eastAsia="it-IT"/>
              </w:rPr>
            </w:pPr>
            <w:r w:rsidRPr="002555BF">
              <w:rPr>
                <w:rFonts w:ascii="Garamond" w:eastAsia="Times New Roman" w:hAnsi="Garamond" w:cs="Times New Roman"/>
                <w:color w:val="000000"/>
                <w:lang w:eastAsia="it-IT"/>
              </w:rPr>
              <w:t>• Informazioni supplementari divulgate a tutti i potenziali offerenti in merito a specifiche richieste per presentare le offerte</w:t>
            </w:r>
          </w:p>
        </w:tc>
      </w:tr>
      <w:tr w:rsidR="00031F31" w:rsidRPr="00023F3C" w14:paraId="2500744F" w14:textId="77777777" w:rsidTr="00B277D2">
        <w:trPr>
          <w:trHeight w:val="938"/>
        </w:trPr>
        <w:tc>
          <w:tcPr>
            <w:tcW w:w="354" w:type="pct"/>
            <w:shd w:val="clear" w:color="auto" w:fill="auto"/>
            <w:vAlign w:val="center"/>
          </w:tcPr>
          <w:p w14:paraId="2327AE8B" w14:textId="7A8C9585"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1010E">
              <w:rPr>
                <w:rFonts w:ascii="Garamond" w:eastAsia="Times New Roman" w:hAnsi="Garamond" w:cs="Times New Roman"/>
                <w:color w:val="000000"/>
                <w:lang w:eastAsia="it-IT"/>
              </w:rPr>
              <w:t>3</w:t>
            </w:r>
          </w:p>
        </w:tc>
        <w:tc>
          <w:tcPr>
            <w:tcW w:w="1371" w:type="pct"/>
            <w:shd w:val="clear" w:color="auto" w:fill="auto"/>
            <w:vAlign w:val="center"/>
          </w:tcPr>
          <w:p w14:paraId="445FE190" w14:textId="77777777" w:rsidR="00031F31" w:rsidRPr="003A3200" w:rsidRDefault="00031F31" w:rsidP="00B1010E">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il subappalto?</w:t>
            </w:r>
          </w:p>
        </w:tc>
        <w:tc>
          <w:tcPr>
            <w:tcW w:w="133" w:type="pct"/>
            <w:shd w:val="clear" w:color="auto" w:fill="auto"/>
            <w:vAlign w:val="center"/>
          </w:tcPr>
          <w:p w14:paraId="2D5D2DB3"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6AAF0471"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574A49C7"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57FD3241"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662" w:type="pct"/>
          </w:tcPr>
          <w:p w14:paraId="49108C11"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277DD516" w14:textId="5A0691B4"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21646EEE" w14:textId="77777777" w:rsidR="00031F31" w:rsidRPr="002555BF" w:rsidRDefault="00031F31" w:rsidP="00B1010E">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031F31" w:rsidRPr="00023F3C" w14:paraId="7356DE3D" w14:textId="77777777" w:rsidTr="00B277D2">
        <w:trPr>
          <w:trHeight w:val="938"/>
        </w:trPr>
        <w:tc>
          <w:tcPr>
            <w:tcW w:w="354" w:type="pct"/>
            <w:shd w:val="clear" w:color="auto" w:fill="auto"/>
            <w:vAlign w:val="center"/>
          </w:tcPr>
          <w:p w14:paraId="1D7AB7FE" w14:textId="0606DC11"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1010E">
              <w:rPr>
                <w:rFonts w:ascii="Garamond" w:eastAsia="Times New Roman" w:hAnsi="Garamond" w:cs="Times New Roman"/>
                <w:color w:val="000000"/>
                <w:lang w:eastAsia="it-IT"/>
              </w:rPr>
              <w:t>4</w:t>
            </w:r>
          </w:p>
        </w:tc>
        <w:tc>
          <w:tcPr>
            <w:tcW w:w="1371" w:type="pct"/>
            <w:shd w:val="clear" w:color="auto" w:fill="auto"/>
            <w:vAlign w:val="center"/>
          </w:tcPr>
          <w:p w14:paraId="07F15515" w14:textId="0ADA644D" w:rsidR="00031F31" w:rsidRPr="003A3200" w:rsidRDefault="00031F31" w:rsidP="00B1010E">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gara è previsto l’avvalimento?</w:t>
            </w:r>
          </w:p>
        </w:tc>
        <w:tc>
          <w:tcPr>
            <w:tcW w:w="133" w:type="pct"/>
            <w:shd w:val="clear" w:color="auto" w:fill="auto"/>
            <w:vAlign w:val="center"/>
          </w:tcPr>
          <w:p w14:paraId="5059B6E2"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1CC9D50B"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05FED1C7"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1BC27D69"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662" w:type="pct"/>
          </w:tcPr>
          <w:p w14:paraId="2E89A82B"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0F51EEE1" w14:textId="256854CB"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5545D706" w14:textId="77777777" w:rsidR="00031F31" w:rsidRPr="002555BF" w:rsidRDefault="00031F31" w:rsidP="00B1010E">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031F31" w:rsidRPr="00023F3C" w14:paraId="691DB7F2" w14:textId="77777777" w:rsidTr="00B277D2">
        <w:trPr>
          <w:trHeight w:val="938"/>
        </w:trPr>
        <w:tc>
          <w:tcPr>
            <w:tcW w:w="354" w:type="pct"/>
            <w:shd w:val="clear" w:color="auto" w:fill="auto"/>
            <w:vAlign w:val="center"/>
          </w:tcPr>
          <w:p w14:paraId="6698BAED" w14:textId="217F86DC"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1010E">
              <w:rPr>
                <w:rFonts w:ascii="Garamond" w:eastAsia="Times New Roman" w:hAnsi="Garamond" w:cs="Times New Roman"/>
                <w:color w:val="000000"/>
                <w:lang w:eastAsia="it-IT"/>
              </w:rPr>
              <w:t>5</w:t>
            </w:r>
          </w:p>
        </w:tc>
        <w:tc>
          <w:tcPr>
            <w:tcW w:w="1371" w:type="pct"/>
            <w:shd w:val="clear" w:color="auto" w:fill="auto"/>
            <w:vAlign w:val="center"/>
          </w:tcPr>
          <w:p w14:paraId="0C47FE2D" w14:textId="46B7B0F0" w:rsidR="00031F31" w:rsidRPr="003A3200" w:rsidRDefault="00031F31" w:rsidP="00B1010E">
            <w:pPr>
              <w:spacing w:after="0" w:line="240" w:lineRule="auto"/>
              <w:jc w:val="both"/>
              <w:rPr>
                <w:rFonts w:ascii="Garamond" w:eastAsia="Times New Roman" w:hAnsi="Garamond" w:cs="Times New Roman"/>
                <w:color w:val="000000"/>
                <w:lang w:eastAsia="it-IT"/>
              </w:rPr>
            </w:pPr>
            <w:r w:rsidRPr="00167CFF">
              <w:rPr>
                <w:rFonts w:ascii="Garamond" w:hAnsi="Garamond"/>
                <w:color w:val="000000"/>
              </w:rPr>
              <w:t xml:space="preserve">La scelta dei criteri di aggiudicazione dell'appalto è stata effettuata dalla </w:t>
            </w:r>
            <w:r>
              <w:rPr>
                <w:rFonts w:ascii="Garamond" w:hAnsi="Garamond"/>
                <w:color w:val="000000"/>
              </w:rPr>
              <w:t>Stazione Appaltante</w:t>
            </w:r>
            <w:r w:rsidRPr="00167CFF">
              <w:rPr>
                <w:rFonts w:ascii="Garamond" w:hAnsi="Garamond"/>
                <w:color w:val="000000"/>
              </w:rPr>
              <w:t xml:space="preserve"> in conformità con le disposizioni previste dall'art. </w:t>
            </w:r>
            <w:r>
              <w:rPr>
                <w:rFonts w:ascii="Garamond" w:hAnsi="Garamond"/>
                <w:color w:val="000000"/>
              </w:rPr>
              <w:t>108</w:t>
            </w:r>
            <w:r w:rsidRPr="00167CFF">
              <w:rPr>
                <w:rFonts w:ascii="Garamond" w:hAnsi="Garamond"/>
                <w:color w:val="000000"/>
              </w:rPr>
              <w:t xml:space="preserve"> del </w:t>
            </w:r>
            <w:r>
              <w:rPr>
                <w:rFonts w:ascii="Garamond" w:hAnsi="Garamond"/>
                <w:color w:val="000000"/>
              </w:rPr>
              <w:t>d</w:t>
            </w:r>
            <w:r w:rsidRPr="00167CFF">
              <w:rPr>
                <w:rFonts w:ascii="Garamond" w:hAnsi="Garamond"/>
                <w:color w:val="000000"/>
              </w:rPr>
              <w:t xml:space="preserve">.lgs. </w:t>
            </w:r>
            <w:r>
              <w:rPr>
                <w:rFonts w:ascii="Garamond" w:hAnsi="Garamond"/>
                <w:color w:val="000000"/>
              </w:rPr>
              <w:t>36/2023</w:t>
            </w:r>
            <w:r w:rsidRPr="00167CFF">
              <w:rPr>
                <w:rFonts w:ascii="Garamond" w:hAnsi="Garamond"/>
                <w:color w:val="000000"/>
              </w:rPr>
              <w:t>?</w:t>
            </w:r>
          </w:p>
        </w:tc>
        <w:tc>
          <w:tcPr>
            <w:tcW w:w="133" w:type="pct"/>
            <w:shd w:val="clear" w:color="auto" w:fill="auto"/>
            <w:vAlign w:val="center"/>
          </w:tcPr>
          <w:p w14:paraId="40EEC34A"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22C6B78A"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3C7BF1D0"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79F899BE"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662" w:type="pct"/>
          </w:tcPr>
          <w:p w14:paraId="1078E576" w14:textId="77777777"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512EFE6A" w14:textId="5409A12C" w:rsidR="00031F31" w:rsidRPr="00683A3C" w:rsidRDefault="00031F31" w:rsidP="00B1010E">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12E31408" w14:textId="397957AC" w:rsidR="00031F31" w:rsidRPr="002555BF" w:rsidRDefault="00031F31" w:rsidP="00B1010E">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2C84437C" w14:textId="070FCF01" w:rsidR="00031F31" w:rsidRPr="002555BF" w:rsidRDefault="00031F31" w:rsidP="00B1010E">
            <w:pPr>
              <w:spacing w:after="0" w:line="240" w:lineRule="auto"/>
              <w:jc w:val="both"/>
              <w:rPr>
                <w:rFonts w:ascii="Garamond" w:eastAsia="Times New Roman" w:hAnsi="Garamond" w:cs="Times New Roman"/>
                <w:color w:val="000000"/>
                <w:lang w:eastAsia="it-IT"/>
              </w:rPr>
            </w:pPr>
          </w:p>
        </w:tc>
      </w:tr>
      <w:tr w:rsidR="00031F31" w:rsidRPr="00023F3C" w14:paraId="7C1B0AEC" w14:textId="77777777" w:rsidTr="00B277D2">
        <w:trPr>
          <w:trHeight w:val="938"/>
        </w:trPr>
        <w:tc>
          <w:tcPr>
            <w:tcW w:w="354" w:type="pct"/>
            <w:shd w:val="clear" w:color="auto" w:fill="auto"/>
            <w:vAlign w:val="center"/>
          </w:tcPr>
          <w:p w14:paraId="3426BF31" w14:textId="3430F588"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B1010E">
              <w:rPr>
                <w:rFonts w:ascii="Garamond" w:eastAsia="Times New Roman" w:hAnsi="Garamond" w:cs="Times New Roman"/>
                <w:color w:val="000000"/>
                <w:lang w:eastAsia="it-IT"/>
              </w:rPr>
              <w:t>6</w:t>
            </w:r>
          </w:p>
        </w:tc>
        <w:tc>
          <w:tcPr>
            <w:tcW w:w="1371" w:type="pct"/>
            <w:shd w:val="clear" w:color="auto" w:fill="auto"/>
            <w:vAlign w:val="center"/>
          </w:tcPr>
          <w:p w14:paraId="4D819371" w14:textId="77777777" w:rsidR="00031F31" w:rsidRPr="003A3200" w:rsidRDefault="00031F31" w:rsidP="00031F31">
            <w:pPr>
              <w:spacing w:after="0" w:line="240" w:lineRule="auto"/>
              <w:jc w:val="both"/>
              <w:rPr>
                <w:rFonts w:ascii="Garamond" w:eastAsia="Times New Roman" w:hAnsi="Garamond" w:cs="Times New Roman"/>
                <w:color w:val="000000"/>
                <w:lang w:eastAsia="it-IT"/>
              </w:rPr>
            </w:pPr>
            <w:r w:rsidRPr="00774D4A">
              <w:rPr>
                <w:rFonts w:ascii="Garamond" w:eastAsia="Times New Roman" w:hAnsi="Garamond" w:cs="Times New Roman"/>
                <w:color w:val="000000"/>
                <w:lang w:eastAsia="it-IT"/>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133" w:type="pct"/>
            <w:shd w:val="clear" w:color="auto" w:fill="auto"/>
            <w:vAlign w:val="center"/>
          </w:tcPr>
          <w:p w14:paraId="7F022B51"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1144B764"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143C3FA3"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66620E8E"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0A7D04D7" w14:textId="6A8861C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5AD53C38" w14:textId="42C49460"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1E160376" w14:textId="1A793429"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p w14:paraId="4D8F85B5" w14:textId="77777777"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 della commissione</w:t>
            </w:r>
          </w:p>
          <w:p w14:paraId="1609414E" w14:textId="77777777" w:rsidR="00031F31" w:rsidRPr="002555BF" w:rsidRDefault="00031F31" w:rsidP="00031F31">
            <w:pPr>
              <w:spacing w:after="0" w:line="240" w:lineRule="auto"/>
              <w:jc w:val="both"/>
              <w:rPr>
                <w:rFonts w:ascii="Garamond" w:eastAsia="Times New Roman" w:hAnsi="Garamond" w:cs="Times New Roman"/>
                <w:color w:val="000000"/>
                <w:lang w:eastAsia="it-IT"/>
              </w:rPr>
            </w:pPr>
          </w:p>
        </w:tc>
      </w:tr>
      <w:tr w:rsidR="00031F31" w:rsidRPr="00023F3C" w14:paraId="402B69F2" w14:textId="77777777" w:rsidTr="00022E0B">
        <w:trPr>
          <w:trHeight w:val="639"/>
        </w:trPr>
        <w:tc>
          <w:tcPr>
            <w:tcW w:w="354" w:type="pct"/>
            <w:shd w:val="clear" w:color="auto" w:fill="auto"/>
            <w:vAlign w:val="center"/>
          </w:tcPr>
          <w:p w14:paraId="7347415A" w14:textId="4D36A5D6" w:rsidR="00031F31" w:rsidRPr="005D422F"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1010E">
              <w:rPr>
                <w:rFonts w:ascii="Garamond" w:eastAsia="Times New Roman" w:hAnsi="Garamond" w:cs="Times New Roman"/>
                <w:color w:val="000000"/>
                <w:lang w:eastAsia="it-IT"/>
              </w:rPr>
              <w:t>7</w:t>
            </w:r>
          </w:p>
        </w:tc>
        <w:tc>
          <w:tcPr>
            <w:tcW w:w="1371" w:type="pct"/>
            <w:shd w:val="clear" w:color="auto" w:fill="auto"/>
            <w:vAlign w:val="center"/>
          </w:tcPr>
          <w:p w14:paraId="7EC96270" w14:textId="4A2B9ABE" w:rsidR="00031F31" w:rsidRPr="00CA2E77" w:rsidRDefault="00031F31" w:rsidP="00031F31">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Nella documentazione di gara sono inserite le specifiche tecniche e le clausole contrattuali contenute nei criteri ambientali minimi adottati con Decreto del Ministro dell’ambiente e della tutela del territorio e del mare (art. </w:t>
            </w:r>
            <w:r>
              <w:rPr>
                <w:rFonts w:ascii="Garamond" w:eastAsia="Times New Roman" w:hAnsi="Garamond" w:cs="Times New Roman"/>
                <w:color w:val="000000"/>
                <w:lang w:eastAsia="it-IT"/>
              </w:rPr>
              <w:t>57 del D</w:t>
            </w:r>
            <w:r w:rsidRPr="00CA2E7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CA2E7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CA2E77">
              <w:rPr>
                <w:rFonts w:ascii="Garamond" w:eastAsia="Times New Roman" w:hAnsi="Garamond" w:cs="Times New Roman"/>
                <w:color w:val="000000"/>
                <w:lang w:eastAsia="it-IT"/>
              </w:rPr>
              <w:t>)?</w:t>
            </w:r>
          </w:p>
          <w:p w14:paraId="35E6D0A5" w14:textId="4657D71F" w:rsidR="00031F31" w:rsidRPr="007D18FB" w:rsidRDefault="00031F31" w:rsidP="00031F31">
            <w:pPr>
              <w:spacing w:after="0" w:line="240" w:lineRule="auto"/>
              <w:jc w:val="both"/>
              <w:rPr>
                <w:rFonts w:ascii="Garamond" w:eastAsia="Times New Roman" w:hAnsi="Garamond" w:cs="Times New Roman"/>
                <w:color w:val="000000"/>
                <w:lang w:eastAsia="it-IT"/>
              </w:rPr>
            </w:pPr>
            <w:r w:rsidRPr="00CA2E77">
              <w:rPr>
                <w:rFonts w:ascii="Garamond" w:eastAsia="Times New Roman" w:hAnsi="Garamond" w:cs="Times New Roman"/>
                <w:color w:val="000000"/>
                <w:lang w:eastAsia="it-IT"/>
              </w:rPr>
              <w:t xml:space="preserve">I criteri ambientali minimi definiti da detto decreto sono tenuti in considerazione anche ai fini della stesura dei documenti di gara per l'applicazione del criterio dell'offerta economicamente più vantaggiosa, relativamente alle categorie di appalto con le quali si può conseguire l'efficienza energetica negli usi finali, ai sensi dell'articolo </w:t>
            </w:r>
            <w:r>
              <w:rPr>
                <w:rFonts w:ascii="Garamond" w:eastAsia="Times New Roman" w:hAnsi="Garamond" w:cs="Times New Roman"/>
                <w:color w:val="000000"/>
                <w:lang w:eastAsia="it-IT"/>
              </w:rPr>
              <w:t>108</w:t>
            </w:r>
            <w:r w:rsidRPr="00CA2E7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4,</w:t>
            </w:r>
            <w:r w:rsidRPr="00CA2E77">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CA2E7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CA2E7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tc>
        <w:tc>
          <w:tcPr>
            <w:tcW w:w="133" w:type="pct"/>
            <w:shd w:val="clear" w:color="auto" w:fill="auto"/>
            <w:vAlign w:val="center"/>
          </w:tcPr>
          <w:p w14:paraId="72DF219B"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75192513"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60B04E26"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66B2F892"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786368E2"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7AF6E109" w14:textId="1E2123B4"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6C241AF7" w14:textId="07BED949" w:rsidR="00031F31" w:rsidRPr="002555BF"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067C36" w:rsidRPr="00023F3C" w14:paraId="74DD321B" w14:textId="77777777" w:rsidTr="00A0006F">
        <w:trPr>
          <w:trHeight w:val="938"/>
        </w:trPr>
        <w:tc>
          <w:tcPr>
            <w:tcW w:w="354" w:type="pct"/>
            <w:shd w:val="clear" w:color="auto" w:fill="auto"/>
            <w:vAlign w:val="center"/>
          </w:tcPr>
          <w:p w14:paraId="3756CAE6" w14:textId="39EC3C55" w:rsidR="00067C36" w:rsidRDefault="00067C36" w:rsidP="00067C3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1010E">
              <w:rPr>
                <w:rFonts w:ascii="Garamond" w:eastAsia="Times New Roman" w:hAnsi="Garamond" w:cs="Times New Roman"/>
                <w:color w:val="000000"/>
                <w:lang w:eastAsia="it-IT"/>
              </w:rPr>
              <w:t>8</w:t>
            </w:r>
          </w:p>
        </w:tc>
        <w:tc>
          <w:tcPr>
            <w:tcW w:w="1371" w:type="pct"/>
            <w:shd w:val="clear" w:color="auto" w:fill="auto"/>
            <w:vAlign w:val="center"/>
          </w:tcPr>
          <w:p w14:paraId="17B2AEFA" w14:textId="4F4148F1" w:rsidR="00067C36" w:rsidRDefault="00067C36" w:rsidP="00067C36">
            <w:pPr>
              <w:spacing w:after="0" w:line="240" w:lineRule="auto"/>
              <w:jc w:val="both"/>
              <w:rPr>
                <w:rFonts w:ascii="Garamond" w:eastAsia="Times New Roman" w:hAnsi="Garamond" w:cs="Times New Roman"/>
                <w:color w:val="000000"/>
                <w:lang w:eastAsia="it-IT"/>
              </w:rPr>
            </w:pPr>
            <w:r w:rsidRPr="005243D8">
              <w:rPr>
                <w:rFonts w:ascii="Garamond" w:eastAsia="Times New Roman" w:hAnsi="Garamond" w:cs="Times New Roman"/>
                <w:lang w:eastAsia="it-IT"/>
              </w:rPr>
              <w:t xml:space="preserve">La </w:t>
            </w:r>
            <w:r>
              <w:rPr>
                <w:rFonts w:ascii="Garamond" w:eastAsia="Times New Roman" w:hAnsi="Garamond" w:cs="Times New Roman"/>
                <w:lang w:eastAsia="it-IT"/>
              </w:rPr>
              <w:t>Stazione Appaltante</w:t>
            </w:r>
            <w:r w:rsidRPr="005243D8">
              <w:rPr>
                <w:rFonts w:ascii="Garamond" w:eastAsia="Times New Roman" w:hAnsi="Garamond" w:cs="Times New Roman"/>
                <w:lang w:eastAsia="it-IT"/>
              </w:rPr>
              <w:t xml:space="preserve"> ha indicato nei documenti di gara il contratto collettivo nazionale applicabile al personale dipendente impiegato nell'appalto (art. 11 del </w:t>
            </w:r>
            <w:r>
              <w:rPr>
                <w:rFonts w:ascii="Garamond" w:eastAsia="Times New Roman" w:hAnsi="Garamond" w:cs="Times New Roman"/>
                <w:lang w:eastAsia="it-IT"/>
              </w:rPr>
              <w:t>D</w:t>
            </w:r>
            <w:r w:rsidRPr="005243D8">
              <w:rPr>
                <w:rFonts w:ascii="Garamond" w:eastAsia="Times New Roman" w:hAnsi="Garamond" w:cs="Times New Roman"/>
                <w:lang w:eastAsia="it-IT"/>
              </w:rPr>
              <w:t>.</w:t>
            </w:r>
            <w:r>
              <w:rPr>
                <w:rFonts w:ascii="Garamond" w:eastAsia="Times New Roman" w:hAnsi="Garamond" w:cs="Times New Roman"/>
                <w:lang w:eastAsia="it-IT"/>
              </w:rPr>
              <w:t xml:space="preserve"> L</w:t>
            </w:r>
            <w:r w:rsidRPr="005243D8">
              <w:rPr>
                <w:rFonts w:ascii="Garamond" w:eastAsia="Times New Roman" w:hAnsi="Garamond" w:cs="Times New Roman"/>
                <w:lang w:eastAsia="it-IT"/>
              </w:rPr>
              <w:t>gs. 36/2023)?</w:t>
            </w:r>
          </w:p>
        </w:tc>
        <w:tc>
          <w:tcPr>
            <w:tcW w:w="133" w:type="pct"/>
            <w:shd w:val="clear" w:color="auto" w:fill="auto"/>
            <w:vAlign w:val="center"/>
          </w:tcPr>
          <w:p w14:paraId="3CEF6E75"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486D5CD7"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268F71E2"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6810B368"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662" w:type="pct"/>
            <w:vAlign w:val="center"/>
          </w:tcPr>
          <w:p w14:paraId="63BF817C" w14:textId="16982FCD"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r>
              <w:rPr>
                <w:rFonts w:ascii="Garamond" w:eastAsia="Times New Roman" w:hAnsi="Garamond" w:cs="Times New Roman"/>
                <w:color w:val="2F5496" w:themeColor="accent1" w:themeShade="BF"/>
                <w:lang w:eastAsia="it-IT"/>
              </w:rPr>
              <w:t xml:space="preserve">A partire dal 31 dicembre 2024, è stato introdotto l’Allegato I.01 al Codice che </w:t>
            </w:r>
            <w:r w:rsidRPr="00D76F6F">
              <w:rPr>
                <w:rFonts w:ascii="Garamond" w:eastAsia="Times New Roman" w:hAnsi="Garamond" w:cs="Times New Roman"/>
                <w:color w:val="2F5496" w:themeColor="accent1" w:themeShade="BF"/>
                <w:lang w:eastAsia="it-IT"/>
              </w:rPr>
              <w:t>stabilisce l’applicazione di un unico CCNL nel bando di gara</w:t>
            </w:r>
            <w:r>
              <w:rPr>
                <w:rFonts w:ascii="Garamond" w:eastAsia="Times New Roman" w:hAnsi="Garamond" w:cs="Times New Roman"/>
                <w:color w:val="2F5496" w:themeColor="accent1" w:themeShade="BF"/>
                <w:lang w:eastAsia="it-IT"/>
              </w:rPr>
              <w:t xml:space="preserve"> e disciplina le modalità di </w:t>
            </w:r>
            <w:r>
              <w:rPr>
                <w:rFonts w:ascii="Garamond" w:eastAsia="Times New Roman" w:hAnsi="Garamond" w:cs="Times New Roman"/>
                <w:color w:val="2F5496" w:themeColor="accent1" w:themeShade="BF"/>
                <w:lang w:eastAsia="it-IT"/>
              </w:rPr>
              <w:lastRenderedPageBreak/>
              <w:t>individuazione del CCNL applicabile.</w:t>
            </w:r>
          </w:p>
        </w:tc>
        <w:tc>
          <w:tcPr>
            <w:tcW w:w="399" w:type="pct"/>
            <w:shd w:val="clear" w:color="auto" w:fill="auto"/>
            <w:vAlign w:val="center"/>
          </w:tcPr>
          <w:p w14:paraId="44D750AE"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676E94AD" w14:textId="77777777" w:rsidR="00067C36" w:rsidRPr="005243D8" w:rsidRDefault="00067C36" w:rsidP="00067C36">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Disciplinare</w:t>
            </w:r>
          </w:p>
          <w:p w14:paraId="133F0CDD" w14:textId="184A9C73" w:rsidR="00067C36" w:rsidRPr="00622822" w:rsidRDefault="00067C36" w:rsidP="00067C36">
            <w:pPr>
              <w:spacing w:after="0" w:line="240" w:lineRule="auto"/>
              <w:jc w:val="both"/>
              <w:rPr>
                <w:rFonts w:ascii="Garamond" w:eastAsia="Times New Roman" w:hAnsi="Garamond" w:cs="Times New Roman"/>
                <w:color w:val="000000"/>
                <w:lang w:eastAsia="it-IT"/>
              </w:rPr>
            </w:pPr>
            <w:r w:rsidRPr="005243D8">
              <w:rPr>
                <w:rFonts w:ascii="Garamond" w:eastAsia="Times New Roman" w:hAnsi="Garamond" w:cs="Times New Roman"/>
                <w:lang w:eastAsia="it-IT"/>
              </w:rPr>
              <w:t>• Altro</w:t>
            </w:r>
          </w:p>
        </w:tc>
      </w:tr>
      <w:tr w:rsidR="00067C36" w:rsidRPr="00023F3C" w14:paraId="6DCBD7A0" w14:textId="77777777" w:rsidTr="00A0006F">
        <w:trPr>
          <w:trHeight w:val="938"/>
        </w:trPr>
        <w:tc>
          <w:tcPr>
            <w:tcW w:w="354" w:type="pct"/>
            <w:shd w:val="clear" w:color="auto" w:fill="auto"/>
            <w:vAlign w:val="center"/>
          </w:tcPr>
          <w:p w14:paraId="6C36CB5E" w14:textId="6764F42B" w:rsidR="00067C36" w:rsidRDefault="00067C36" w:rsidP="00067C3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lang w:eastAsia="it-IT"/>
              </w:rPr>
              <w:t>1</w:t>
            </w:r>
            <w:r w:rsidR="00B1010E">
              <w:rPr>
                <w:rFonts w:ascii="Garamond" w:eastAsia="Times New Roman" w:hAnsi="Garamond" w:cs="Times New Roman"/>
                <w:lang w:eastAsia="it-IT"/>
              </w:rPr>
              <w:t>9</w:t>
            </w:r>
          </w:p>
        </w:tc>
        <w:tc>
          <w:tcPr>
            <w:tcW w:w="1371" w:type="pct"/>
            <w:shd w:val="clear" w:color="auto" w:fill="auto"/>
            <w:vAlign w:val="center"/>
          </w:tcPr>
          <w:p w14:paraId="0D24C41F" w14:textId="43E3C674" w:rsidR="00067C36" w:rsidRPr="00CA2E77" w:rsidRDefault="00067C36" w:rsidP="00067C36">
            <w:pPr>
              <w:spacing w:after="0" w:line="240" w:lineRule="auto"/>
              <w:jc w:val="both"/>
              <w:rPr>
                <w:rFonts w:ascii="Garamond" w:eastAsia="Times New Roman" w:hAnsi="Garamond" w:cs="Times New Roman"/>
                <w:color w:val="000000"/>
                <w:lang w:eastAsia="it-IT"/>
              </w:rPr>
            </w:pPr>
            <w:r w:rsidRPr="005243D8">
              <w:rPr>
                <w:rFonts w:ascii="Garamond" w:eastAsia="Times New Roman" w:hAnsi="Garamond" w:cs="Times New Roman"/>
                <w:lang w:eastAsia="it-IT"/>
              </w:rPr>
              <w:t xml:space="preserve">Nei documenti posti a base di gara, i costi della sicurezza e della manodopera sono scorporati dal costo dall’importo assoggettato al ribasso ai sensi dell’art. 41, comma 14, del </w:t>
            </w:r>
            <w:r>
              <w:rPr>
                <w:rFonts w:ascii="Garamond" w:eastAsia="Times New Roman" w:hAnsi="Garamond" w:cs="Times New Roman"/>
                <w:lang w:eastAsia="it-IT"/>
              </w:rPr>
              <w:t>D</w:t>
            </w:r>
            <w:r w:rsidRPr="005243D8">
              <w:rPr>
                <w:rFonts w:ascii="Garamond" w:eastAsia="Times New Roman" w:hAnsi="Garamond" w:cs="Times New Roman"/>
                <w:lang w:eastAsia="it-IT"/>
              </w:rPr>
              <w:t>.</w:t>
            </w:r>
            <w:r>
              <w:rPr>
                <w:rFonts w:ascii="Garamond" w:eastAsia="Times New Roman" w:hAnsi="Garamond" w:cs="Times New Roman"/>
                <w:lang w:eastAsia="it-IT"/>
              </w:rPr>
              <w:t xml:space="preserve"> L</w:t>
            </w:r>
            <w:r w:rsidRPr="005243D8">
              <w:rPr>
                <w:rFonts w:ascii="Garamond" w:eastAsia="Times New Roman" w:hAnsi="Garamond" w:cs="Times New Roman"/>
                <w:lang w:eastAsia="it-IT"/>
              </w:rPr>
              <w:t>gs. 36/2023?</w:t>
            </w:r>
          </w:p>
        </w:tc>
        <w:tc>
          <w:tcPr>
            <w:tcW w:w="133" w:type="pct"/>
            <w:shd w:val="clear" w:color="auto" w:fill="auto"/>
            <w:vAlign w:val="center"/>
          </w:tcPr>
          <w:p w14:paraId="56848D30"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36293F8F"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6778119C"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04488483"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662" w:type="pct"/>
            <w:vAlign w:val="center"/>
          </w:tcPr>
          <w:p w14:paraId="4BC5F08E" w14:textId="77777777"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6D104C36" w14:textId="6B197C64" w:rsidR="00067C36" w:rsidRPr="00683A3C" w:rsidRDefault="00067C36" w:rsidP="00067C36">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144116BA" w14:textId="77777777" w:rsidR="00067C36" w:rsidRPr="005243D8" w:rsidRDefault="00067C36" w:rsidP="00067C36">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Decisione di contrarre;</w:t>
            </w:r>
          </w:p>
          <w:p w14:paraId="20119518" w14:textId="77777777" w:rsidR="00067C36" w:rsidRPr="005243D8" w:rsidRDefault="00067C36" w:rsidP="00067C36">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Progetto di servizio</w:t>
            </w:r>
          </w:p>
          <w:p w14:paraId="25489D6B" w14:textId="5D91840C" w:rsidR="00067C36" w:rsidRPr="00622822" w:rsidRDefault="00067C36" w:rsidP="00067C36">
            <w:pPr>
              <w:spacing w:after="0" w:line="240" w:lineRule="auto"/>
              <w:jc w:val="both"/>
              <w:rPr>
                <w:rFonts w:ascii="Garamond" w:eastAsia="Times New Roman" w:hAnsi="Garamond" w:cs="Times New Roman"/>
                <w:color w:val="000000"/>
                <w:lang w:eastAsia="it-IT"/>
              </w:rPr>
            </w:pPr>
            <w:r w:rsidRPr="005243D8">
              <w:rPr>
                <w:rFonts w:ascii="Garamond" w:eastAsia="Times New Roman" w:hAnsi="Garamond" w:cs="Times New Roman"/>
                <w:lang w:eastAsia="it-IT"/>
              </w:rPr>
              <w:t>• Disciplinare di gara</w:t>
            </w:r>
          </w:p>
        </w:tc>
      </w:tr>
      <w:tr w:rsidR="00031F31" w:rsidRPr="00023F3C" w14:paraId="0BDA7CCB" w14:textId="77777777" w:rsidTr="00377537">
        <w:trPr>
          <w:trHeight w:val="896"/>
        </w:trPr>
        <w:tc>
          <w:tcPr>
            <w:tcW w:w="354" w:type="pct"/>
            <w:shd w:val="clear" w:color="auto" w:fill="B4C6E7" w:themeFill="accent1" w:themeFillTint="66"/>
            <w:vAlign w:val="center"/>
          </w:tcPr>
          <w:p w14:paraId="593C2AD4" w14:textId="12EEF96B" w:rsidR="00031F31" w:rsidRPr="005D422F" w:rsidRDefault="00B1010E" w:rsidP="00031F3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646" w:type="pct"/>
            <w:gridSpan w:val="8"/>
            <w:shd w:val="clear" w:color="auto" w:fill="B4C6E7" w:themeFill="accent1" w:themeFillTint="66"/>
            <w:vAlign w:val="center"/>
          </w:tcPr>
          <w:p w14:paraId="0A236B5D" w14:textId="7CB09F54" w:rsidR="00031F31" w:rsidRPr="005D422F" w:rsidRDefault="00031F31" w:rsidP="00031F31">
            <w:pPr>
              <w:jc w:val="center"/>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031F31" w:rsidRPr="00023F3C" w14:paraId="31F53D4C" w14:textId="77777777" w:rsidTr="00B277D2">
        <w:trPr>
          <w:trHeight w:val="938"/>
        </w:trPr>
        <w:tc>
          <w:tcPr>
            <w:tcW w:w="354" w:type="pct"/>
            <w:shd w:val="clear" w:color="auto" w:fill="auto"/>
            <w:vAlign w:val="center"/>
          </w:tcPr>
          <w:p w14:paraId="427F5457" w14:textId="7093D796" w:rsidR="00031F31" w:rsidRPr="005D422F"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371" w:type="pct"/>
            <w:shd w:val="clear" w:color="auto" w:fill="auto"/>
            <w:vAlign w:val="center"/>
          </w:tcPr>
          <w:p w14:paraId="29D36AD1" w14:textId="223FC687" w:rsidR="00031F31" w:rsidRPr="005D422F" w:rsidRDefault="00031F31" w:rsidP="00031F3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Stazione Appaltante</w:t>
            </w:r>
            <w:r w:rsidRPr="005D422F">
              <w:rPr>
                <w:rFonts w:ascii="Garamond" w:eastAsia="Times New Roman" w:hAnsi="Garamond" w:cs="Times New Roman"/>
                <w:color w:val="000000"/>
                <w:lang w:eastAsia="it-IT"/>
              </w:rPr>
              <w:t xml:space="preserv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nel rispetto dei principi di cui al Libro I, Parti I e II del D. Lgs. 36/2023?</w:t>
            </w:r>
          </w:p>
        </w:tc>
        <w:tc>
          <w:tcPr>
            <w:tcW w:w="133" w:type="pct"/>
            <w:shd w:val="clear" w:color="auto" w:fill="auto"/>
            <w:vAlign w:val="center"/>
          </w:tcPr>
          <w:p w14:paraId="2EB5AC45"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0A9E8C77"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7F7F69F3"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56107C5F"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20496317"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51803455" w14:textId="57D84E8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4CE3FECF" w14:textId="661B1008" w:rsidR="00031F31" w:rsidRDefault="00031F31" w:rsidP="00031F31">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4821AB2B" w14:textId="3742E13E" w:rsidR="00031F31" w:rsidRDefault="00031F31" w:rsidP="00031F31">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Relazione Tecnica</w:t>
            </w:r>
          </w:p>
          <w:p w14:paraId="3E648954" w14:textId="61D7153F" w:rsidR="00031F31" w:rsidRPr="00177AE1" w:rsidRDefault="00031F31" w:rsidP="00031F3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031F31" w:rsidRPr="00023F3C" w14:paraId="79E3FA92" w14:textId="77777777" w:rsidTr="00B277D2">
        <w:trPr>
          <w:trHeight w:val="938"/>
        </w:trPr>
        <w:tc>
          <w:tcPr>
            <w:tcW w:w="354" w:type="pct"/>
            <w:shd w:val="clear" w:color="auto" w:fill="auto"/>
            <w:vAlign w:val="center"/>
          </w:tcPr>
          <w:p w14:paraId="6AE3CD3A" w14:textId="39A1A7A0"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371" w:type="pct"/>
            <w:shd w:val="clear" w:color="auto" w:fill="auto"/>
            <w:vAlign w:val="center"/>
          </w:tcPr>
          <w:p w14:paraId="40450DF3" w14:textId="4CA5052B" w:rsidR="00031F31" w:rsidRPr="00DB1D4F" w:rsidRDefault="00031F31" w:rsidP="00031F31">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è avvenuto</w:t>
            </w:r>
            <w:r>
              <w:rPr>
                <w:rFonts w:ascii="Garamond" w:hAnsi="Garamond"/>
                <w:color w:val="000000"/>
                <w:sz w:val="22"/>
                <w:szCs w:val="22"/>
                <w:lang w:eastAsia="it-IT"/>
              </w:rPr>
              <w:t xml:space="preserve"> </w:t>
            </w:r>
            <w:r w:rsidRPr="00275FF3">
              <w:rPr>
                <w:rFonts w:ascii="Garamond" w:hAnsi="Garamond"/>
                <w:color w:val="000000"/>
                <w:sz w:val="22"/>
                <w:szCs w:val="22"/>
                <w:lang w:eastAsia="it-IT"/>
              </w:rPr>
              <w:t>nel rispetto della soglia stabilita</w:t>
            </w:r>
            <w:r>
              <w:rPr>
                <w:rFonts w:ascii="Garamond" w:hAnsi="Garamond"/>
                <w:color w:val="000000"/>
                <w:sz w:val="22"/>
                <w:szCs w:val="22"/>
                <w:lang w:eastAsia="it-IT"/>
              </w:rPr>
              <w:t xml:space="preserve"> dall’art. 50, comma 1, lett. e), del D. Lgs. 36/2023? </w:t>
            </w:r>
          </w:p>
        </w:tc>
        <w:tc>
          <w:tcPr>
            <w:tcW w:w="133" w:type="pct"/>
            <w:shd w:val="clear" w:color="auto" w:fill="auto"/>
            <w:vAlign w:val="center"/>
          </w:tcPr>
          <w:p w14:paraId="34350210"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709CF108"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4FD7BC36"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225C4AA5"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522E00D4"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49A86C6A" w14:textId="2C624CEE"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542AF6E2" w14:textId="63C9B693" w:rsidR="00031F31"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D53FB7E" w14:textId="56254B04" w:rsidR="00031F31" w:rsidRPr="00177AE1" w:rsidRDefault="00031F31" w:rsidP="00031F31">
            <w:pPr>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tc>
      </w:tr>
      <w:tr w:rsidR="00031F31" w:rsidRPr="00023F3C" w14:paraId="3073C7ED" w14:textId="77777777" w:rsidTr="00B277D2">
        <w:trPr>
          <w:trHeight w:val="938"/>
        </w:trPr>
        <w:tc>
          <w:tcPr>
            <w:tcW w:w="354" w:type="pct"/>
            <w:shd w:val="clear" w:color="auto" w:fill="auto"/>
            <w:vAlign w:val="center"/>
          </w:tcPr>
          <w:p w14:paraId="071274ED" w14:textId="11CDD9C6" w:rsidR="00031F31" w:rsidRPr="005D422F"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371" w:type="pct"/>
            <w:shd w:val="clear" w:color="auto" w:fill="auto"/>
            <w:vAlign w:val="center"/>
          </w:tcPr>
          <w:p w14:paraId="6A1C5C18" w14:textId="352D6BEC" w:rsidR="00031F31" w:rsidRPr="005D422F" w:rsidRDefault="00031F31" w:rsidP="00031F3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Sono stati invitati operatori economici nel numero minimo stabilito dall’art</w:t>
            </w:r>
            <w:r>
              <w:rPr>
                <w:rFonts w:ascii="Garamond" w:eastAsia="Times New Roman" w:hAnsi="Garamond" w:cs="Times New Roman"/>
                <w:color w:val="000000"/>
                <w:lang w:eastAsia="it-IT"/>
              </w:rPr>
              <w:t xml:space="preserve"> 50, comma 1, lett. e), del D. Lgs. 36/2023</w:t>
            </w:r>
            <w:r>
              <w:rPr>
                <w:rFonts w:ascii="Garamond" w:hAnsi="Garamond"/>
                <w:color w:val="000000"/>
                <w:lang w:eastAsia="it-IT"/>
              </w:rPr>
              <w:t>.?</w:t>
            </w:r>
          </w:p>
        </w:tc>
        <w:tc>
          <w:tcPr>
            <w:tcW w:w="133" w:type="pct"/>
            <w:shd w:val="clear" w:color="auto" w:fill="auto"/>
            <w:vAlign w:val="center"/>
          </w:tcPr>
          <w:p w14:paraId="5D06072B"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4B4DDF87"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05850EE5"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5C991A4B"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4F3A5195"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78928470" w14:textId="4C936FF1"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27EFAAAF" w14:textId="6C08A497" w:rsidR="00031F31" w:rsidRPr="00177AE1" w:rsidRDefault="00031F31" w:rsidP="00031F3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Lettere di invito </w:t>
            </w:r>
          </w:p>
        </w:tc>
      </w:tr>
      <w:tr w:rsidR="00031F31" w:rsidRPr="00023F3C" w14:paraId="1A4F2673" w14:textId="77777777" w:rsidTr="00B277D2">
        <w:trPr>
          <w:trHeight w:val="938"/>
        </w:trPr>
        <w:tc>
          <w:tcPr>
            <w:tcW w:w="354" w:type="pct"/>
            <w:shd w:val="clear" w:color="auto" w:fill="auto"/>
            <w:vAlign w:val="center"/>
          </w:tcPr>
          <w:p w14:paraId="7960860C" w14:textId="09A88B08"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371" w:type="pct"/>
            <w:shd w:val="clear" w:color="auto" w:fill="auto"/>
            <w:vAlign w:val="center"/>
          </w:tcPr>
          <w:p w14:paraId="07036FC7" w14:textId="2E7A8D5B" w:rsidR="00031F31" w:rsidRPr="005D422F"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Laddove </w:t>
            </w:r>
            <w:r w:rsidRPr="0017400F">
              <w:rPr>
                <w:rFonts w:ascii="Garamond" w:eastAsia="Times New Roman" w:hAnsi="Garamond" w:cs="Times New Roman"/>
                <w:color w:val="000000"/>
                <w:lang w:eastAsia="it-IT"/>
              </w:rPr>
              <w:t xml:space="preserve">l’indagine di mercato </w:t>
            </w:r>
            <w:r w:rsidRPr="00E81CAA">
              <w:rPr>
                <w:rFonts w:ascii="Garamond" w:eastAsia="Times New Roman" w:hAnsi="Garamond" w:cs="Times New Roman"/>
                <w:color w:val="000000"/>
                <w:lang w:eastAsia="it-IT"/>
              </w:rPr>
              <w:t xml:space="preserve">sia stata effettuata ponendo un limite </w:t>
            </w:r>
            <w:r w:rsidRPr="0017400F">
              <w:rPr>
                <w:rFonts w:ascii="Garamond" w:eastAsia="Times New Roman" w:hAnsi="Garamond" w:cs="Times New Roman"/>
                <w:color w:val="000000"/>
                <w:lang w:eastAsia="it-IT"/>
              </w:rPr>
              <w:t xml:space="preserve">al numero di operatori economici in possesso dei requisiti richiesti da invitare alla successiva procedura negoziata, </w:t>
            </w:r>
            <w:r>
              <w:rPr>
                <w:rFonts w:ascii="Garamond" w:eastAsia="Times New Roman" w:hAnsi="Garamond" w:cs="Times New Roman"/>
                <w:color w:val="000000"/>
                <w:lang w:eastAsia="it-IT"/>
              </w:rPr>
              <w:t xml:space="preserve">è stato </w:t>
            </w:r>
            <w:r>
              <w:rPr>
                <w:rFonts w:ascii="Garamond" w:eastAsia="Times New Roman" w:hAnsi="Garamond" w:cs="Times New Roman"/>
                <w:color w:val="000000"/>
                <w:lang w:eastAsia="it-IT"/>
              </w:rPr>
              <w:lastRenderedPageBreak/>
              <w:t xml:space="preserve">rispettato il criterio di rotazione </w:t>
            </w:r>
            <w:r w:rsidRPr="0017400F">
              <w:rPr>
                <w:rFonts w:ascii="Garamond" w:eastAsia="Times New Roman" w:hAnsi="Garamond" w:cs="Times New Roman"/>
                <w:color w:val="000000"/>
                <w:lang w:eastAsia="it-IT"/>
              </w:rPr>
              <w:t>de</w:t>
            </w:r>
            <w:r>
              <w:rPr>
                <w:rFonts w:ascii="Garamond" w:eastAsia="Times New Roman" w:hAnsi="Garamond" w:cs="Times New Roman"/>
                <w:color w:val="000000"/>
                <w:lang w:eastAsia="it-IT"/>
              </w:rPr>
              <w:t xml:space="preserve">gli affidamenti di cui all’art. 49 del D. Lgs. 36/2023? </w:t>
            </w:r>
          </w:p>
        </w:tc>
        <w:tc>
          <w:tcPr>
            <w:tcW w:w="133" w:type="pct"/>
            <w:shd w:val="clear" w:color="auto" w:fill="auto"/>
            <w:vAlign w:val="center"/>
          </w:tcPr>
          <w:p w14:paraId="29E3CAAF"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22E3678E"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09086D1C"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234E7954"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1DAA09C4"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14916129" w14:textId="2978E305"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32F6B35A" w14:textId="60278ED7" w:rsidR="00031F31" w:rsidRDefault="00031F31" w:rsidP="00031F31">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28492CF9" w14:textId="58F49269" w:rsidR="00031F31" w:rsidRPr="00177AE1" w:rsidRDefault="00031F31" w:rsidP="00031F3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031F31" w:rsidRPr="00023F3C" w14:paraId="774577E5" w14:textId="77777777" w:rsidTr="00B277D2">
        <w:trPr>
          <w:trHeight w:val="938"/>
        </w:trPr>
        <w:tc>
          <w:tcPr>
            <w:tcW w:w="354" w:type="pct"/>
            <w:shd w:val="clear" w:color="auto" w:fill="auto"/>
            <w:vAlign w:val="center"/>
          </w:tcPr>
          <w:p w14:paraId="2E2BE407" w14:textId="317D3870"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371" w:type="pct"/>
            <w:shd w:val="clear" w:color="auto" w:fill="auto"/>
            <w:vAlign w:val="center"/>
          </w:tcPr>
          <w:p w14:paraId="64D7A480" w14:textId="5D28587D" w:rsidR="00031F31"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non sia stato rispettato il criterio di rotazione di cui al precedente punto, l’affidamento al contraente uscente è supportato da una congrua motivazione?</w:t>
            </w:r>
          </w:p>
        </w:tc>
        <w:tc>
          <w:tcPr>
            <w:tcW w:w="133" w:type="pct"/>
            <w:shd w:val="clear" w:color="auto" w:fill="auto"/>
            <w:vAlign w:val="center"/>
          </w:tcPr>
          <w:p w14:paraId="3FCEB909"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789D75BE"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4BBAF44E"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5E3B3EF5"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0C1219E9"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21EB290D" w14:textId="328DFC3A"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4C929251" w14:textId="689FC6BD" w:rsidR="00031F31" w:rsidRDefault="00031F31" w:rsidP="00031F3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592AEB7" w14:textId="2E040279" w:rsidR="00031F31" w:rsidRPr="00177AE1" w:rsidRDefault="00031F31" w:rsidP="00031F3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031F31" w:rsidRPr="00023F3C" w14:paraId="480C5450" w14:textId="77777777" w:rsidTr="00B277D2">
        <w:trPr>
          <w:trHeight w:val="938"/>
        </w:trPr>
        <w:tc>
          <w:tcPr>
            <w:tcW w:w="354" w:type="pct"/>
            <w:shd w:val="clear" w:color="auto" w:fill="auto"/>
            <w:vAlign w:val="center"/>
          </w:tcPr>
          <w:p w14:paraId="6FF063D4" w14:textId="4F9B06D1" w:rsidR="00031F31" w:rsidRPr="00651753" w:rsidRDefault="00031F31" w:rsidP="00031F31">
            <w:pPr>
              <w:spacing w:after="0" w:line="240" w:lineRule="auto"/>
              <w:jc w:val="center"/>
              <w:rPr>
                <w:rFonts w:ascii="Garamond" w:eastAsia="Times New Roman" w:hAnsi="Garamond" w:cs="Times New Roman"/>
                <w:lang w:eastAsia="it-IT"/>
              </w:rPr>
            </w:pPr>
            <w:r w:rsidRPr="00651753">
              <w:rPr>
                <w:rFonts w:ascii="Garamond" w:eastAsia="Times New Roman" w:hAnsi="Garamond" w:cs="Times New Roman"/>
                <w:lang w:eastAsia="it-IT"/>
              </w:rPr>
              <w:t>6</w:t>
            </w:r>
          </w:p>
        </w:tc>
        <w:tc>
          <w:tcPr>
            <w:tcW w:w="1371" w:type="pct"/>
            <w:shd w:val="clear" w:color="auto" w:fill="auto"/>
            <w:vAlign w:val="center"/>
          </w:tcPr>
          <w:p w14:paraId="7432C22C" w14:textId="16202F73" w:rsidR="00031F31" w:rsidRPr="00651753" w:rsidRDefault="00031F31" w:rsidP="00031F31">
            <w:pPr>
              <w:spacing w:after="0" w:line="240" w:lineRule="auto"/>
              <w:jc w:val="both"/>
              <w:rPr>
                <w:rFonts w:ascii="Garamond" w:eastAsia="Times New Roman" w:hAnsi="Garamond" w:cs="Times New Roman"/>
                <w:lang w:eastAsia="it-IT"/>
              </w:rPr>
            </w:pPr>
            <w:r w:rsidRPr="00651753">
              <w:rPr>
                <w:rFonts w:ascii="Garamond" w:eastAsia="Times New Roman" w:hAnsi="Garamond" w:cs="Times New Roman"/>
                <w:lang w:eastAsia="it-IT"/>
              </w:rPr>
              <w:t xml:space="preserve">Nei documenti posti a base di gara, i costi della sicurezza e della manodopera sono scorporati dal costo dall’importo assoggettato al ribasso ai sensi dell’art. 41, comma 14, del </w:t>
            </w:r>
            <w:r>
              <w:rPr>
                <w:rFonts w:ascii="Garamond" w:eastAsia="Times New Roman" w:hAnsi="Garamond" w:cs="Times New Roman"/>
                <w:lang w:eastAsia="it-IT"/>
              </w:rPr>
              <w:t>D</w:t>
            </w:r>
            <w:r w:rsidRPr="00651753">
              <w:rPr>
                <w:rFonts w:ascii="Garamond" w:eastAsia="Times New Roman" w:hAnsi="Garamond" w:cs="Times New Roman"/>
                <w:lang w:eastAsia="it-IT"/>
              </w:rPr>
              <w:t>.</w:t>
            </w:r>
            <w:r>
              <w:rPr>
                <w:rFonts w:ascii="Garamond" w:eastAsia="Times New Roman" w:hAnsi="Garamond" w:cs="Times New Roman"/>
                <w:lang w:eastAsia="it-IT"/>
              </w:rPr>
              <w:t xml:space="preserve"> Lg</w:t>
            </w:r>
            <w:r w:rsidRPr="00651753">
              <w:rPr>
                <w:rFonts w:ascii="Garamond" w:eastAsia="Times New Roman" w:hAnsi="Garamond" w:cs="Times New Roman"/>
                <w:lang w:eastAsia="it-IT"/>
              </w:rPr>
              <w:t>s. 36/2023?</w:t>
            </w:r>
          </w:p>
        </w:tc>
        <w:tc>
          <w:tcPr>
            <w:tcW w:w="133" w:type="pct"/>
            <w:shd w:val="clear" w:color="auto" w:fill="auto"/>
            <w:vAlign w:val="center"/>
          </w:tcPr>
          <w:p w14:paraId="5A5007D8" w14:textId="77777777" w:rsidR="00031F31" w:rsidRPr="00651753" w:rsidRDefault="00031F31" w:rsidP="00031F31">
            <w:pPr>
              <w:spacing w:after="0" w:line="240" w:lineRule="auto"/>
              <w:jc w:val="both"/>
              <w:rPr>
                <w:rFonts w:ascii="Garamond" w:eastAsia="Times New Roman" w:hAnsi="Garamond" w:cs="Times New Roman"/>
                <w:b/>
                <w:bCs/>
                <w:highlight w:val="yellow"/>
                <w:lang w:eastAsia="it-IT"/>
              </w:rPr>
            </w:pPr>
          </w:p>
        </w:tc>
        <w:tc>
          <w:tcPr>
            <w:tcW w:w="177" w:type="pct"/>
            <w:shd w:val="clear" w:color="auto" w:fill="auto"/>
            <w:vAlign w:val="center"/>
          </w:tcPr>
          <w:p w14:paraId="4B49DF08" w14:textId="77777777" w:rsidR="00031F31" w:rsidRPr="00651753" w:rsidRDefault="00031F31" w:rsidP="00031F31">
            <w:pPr>
              <w:spacing w:after="0" w:line="240" w:lineRule="auto"/>
              <w:jc w:val="both"/>
              <w:rPr>
                <w:rFonts w:ascii="Garamond" w:eastAsia="Times New Roman" w:hAnsi="Garamond" w:cs="Times New Roman"/>
                <w:b/>
                <w:bCs/>
                <w:highlight w:val="yellow"/>
                <w:lang w:eastAsia="it-IT"/>
              </w:rPr>
            </w:pPr>
          </w:p>
        </w:tc>
        <w:tc>
          <w:tcPr>
            <w:tcW w:w="222" w:type="pct"/>
            <w:shd w:val="clear" w:color="auto" w:fill="auto"/>
            <w:vAlign w:val="center"/>
          </w:tcPr>
          <w:p w14:paraId="6BFE0F85" w14:textId="77777777" w:rsidR="00031F31" w:rsidRPr="00651753" w:rsidRDefault="00031F31" w:rsidP="00031F31">
            <w:pPr>
              <w:spacing w:after="0" w:line="240" w:lineRule="auto"/>
              <w:jc w:val="both"/>
              <w:rPr>
                <w:rFonts w:ascii="Garamond" w:eastAsia="Times New Roman" w:hAnsi="Garamond" w:cs="Times New Roman"/>
                <w:b/>
                <w:bCs/>
                <w:highlight w:val="yellow"/>
                <w:lang w:eastAsia="it-IT"/>
              </w:rPr>
            </w:pPr>
          </w:p>
        </w:tc>
        <w:tc>
          <w:tcPr>
            <w:tcW w:w="531" w:type="pct"/>
            <w:shd w:val="clear" w:color="auto" w:fill="auto"/>
            <w:vAlign w:val="center"/>
          </w:tcPr>
          <w:p w14:paraId="0CA64473" w14:textId="77777777" w:rsidR="00031F31" w:rsidRPr="00651753" w:rsidRDefault="00031F31" w:rsidP="00031F31">
            <w:pPr>
              <w:spacing w:after="0" w:line="240" w:lineRule="auto"/>
              <w:jc w:val="both"/>
              <w:rPr>
                <w:rFonts w:ascii="Garamond" w:eastAsia="Times New Roman" w:hAnsi="Garamond" w:cs="Times New Roman"/>
                <w:b/>
                <w:bCs/>
                <w:highlight w:val="yellow"/>
                <w:lang w:eastAsia="it-IT"/>
              </w:rPr>
            </w:pPr>
          </w:p>
        </w:tc>
        <w:tc>
          <w:tcPr>
            <w:tcW w:w="662" w:type="pct"/>
          </w:tcPr>
          <w:p w14:paraId="619CAF3D" w14:textId="77777777" w:rsidR="00031F31" w:rsidRPr="00651753" w:rsidRDefault="00031F31" w:rsidP="00031F31">
            <w:pPr>
              <w:spacing w:after="0" w:line="240" w:lineRule="auto"/>
              <w:jc w:val="both"/>
              <w:rPr>
                <w:rFonts w:ascii="Garamond" w:eastAsia="Times New Roman" w:hAnsi="Garamond" w:cs="Times New Roman"/>
                <w:b/>
                <w:bCs/>
                <w:highlight w:val="yellow"/>
                <w:lang w:eastAsia="it-IT"/>
              </w:rPr>
            </w:pPr>
          </w:p>
        </w:tc>
        <w:tc>
          <w:tcPr>
            <w:tcW w:w="399" w:type="pct"/>
            <w:shd w:val="clear" w:color="auto" w:fill="auto"/>
            <w:vAlign w:val="center"/>
          </w:tcPr>
          <w:p w14:paraId="52FBB198" w14:textId="77777777" w:rsidR="00031F31" w:rsidRPr="00651753" w:rsidRDefault="00031F31" w:rsidP="00031F31">
            <w:pPr>
              <w:spacing w:after="0" w:line="240" w:lineRule="auto"/>
              <w:jc w:val="both"/>
              <w:rPr>
                <w:rFonts w:ascii="Garamond" w:eastAsia="Times New Roman" w:hAnsi="Garamond" w:cs="Times New Roman"/>
                <w:b/>
                <w:bCs/>
                <w:highlight w:val="yellow"/>
                <w:lang w:eastAsia="it-IT"/>
              </w:rPr>
            </w:pPr>
          </w:p>
        </w:tc>
        <w:tc>
          <w:tcPr>
            <w:tcW w:w="1151" w:type="pct"/>
            <w:vAlign w:val="center"/>
          </w:tcPr>
          <w:p w14:paraId="29C6D550" w14:textId="77777777" w:rsidR="00031F31" w:rsidRPr="00651753" w:rsidRDefault="00031F31" w:rsidP="00031F31">
            <w:pPr>
              <w:spacing w:after="0" w:line="240" w:lineRule="auto"/>
              <w:jc w:val="both"/>
              <w:rPr>
                <w:rFonts w:ascii="Garamond" w:eastAsia="Times New Roman" w:hAnsi="Garamond" w:cs="Times New Roman"/>
                <w:lang w:eastAsia="it-IT"/>
              </w:rPr>
            </w:pPr>
            <w:r w:rsidRPr="00651753">
              <w:rPr>
                <w:rFonts w:ascii="Garamond" w:eastAsia="Times New Roman" w:hAnsi="Garamond" w:cs="Times New Roman"/>
                <w:lang w:eastAsia="it-IT"/>
              </w:rPr>
              <w:t>• Decisione di contrarre;</w:t>
            </w:r>
          </w:p>
          <w:p w14:paraId="4BF22685" w14:textId="77777777" w:rsidR="00031F31" w:rsidRPr="00651753" w:rsidRDefault="00031F31" w:rsidP="00031F31">
            <w:pPr>
              <w:spacing w:after="0" w:line="240" w:lineRule="auto"/>
              <w:jc w:val="both"/>
              <w:rPr>
                <w:rFonts w:ascii="Garamond" w:eastAsia="Times New Roman" w:hAnsi="Garamond" w:cs="Times New Roman"/>
                <w:lang w:eastAsia="it-IT"/>
              </w:rPr>
            </w:pPr>
            <w:r w:rsidRPr="00651753">
              <w:rPr>
                <w:rFonts w:ascii="Garamond" w:eastAsia="Times New Roman" w:hAnsi="Garamond" w:cs="Times New Roman"/>
                <w:lang w:eastAsia="it-IT"/>
              </w:rPr>
              <w:t>• Progetto di servizio</w:t>
            </w:r>
          </w:p>
          <w:p w14:paraId="1CD8E66B" w14:textId="23BC9419" w:rsidR="00031F31" w:rsidRPr="00651753" w:rsidRDefault="00031F31" w:rsidP="00031F31">
            <w:pPr>
              <w:jc w:val="both"/>
              <w:rPr>
                <w:rFonts w:ascii="Garamond" w:eastAsia="Times New Roman" w:hAnsi="Garamond" w:cs="Times New Roman"/>
                <w:lang w:eastAsia="it-IT"/>
              </w:rPr>
            </w:pPr>
            <w:r w:rsidRPr="00651753">
              <w:rPr>
                <w:rFonts w:ascii="Garamond" w:eastAsia="Times New Roman" w:hAnsi="Garamond" w:cs="Times New Roman"/>
                <w:lang w:eastAsia="it-IT"/>
              </w:rPr>
              <w:t>• Disciplinare di gara</w:t>
            </w:r>
          </w:p>
        </w:tc>
      </w:tr>
      <w:tr w:rsidR="00031F31" w:rsidRPr="00023F3C" w14:paraId="4B127D8F" w14:textId="77777777" w:rsidTr="00914D81">
        <w:trPr>
          <w:trHeight w:val="938"/>
        </w:trPr>
        <w:tc>
          <w:tcPr>
            <w:tcW w:w="354" w:type="pct"/>
            <w:shd w:val="clear" w:color="auto" w:fill="B4C6E7" w:themeFill="accent1" w:themeFillTint="66"/>
            <w:vAlign w:val="center"/>
          </w:tcPr>
          <w:p w14:paraId="1887518E" w14:textId="4C9261DD" w:rsidR="00031F31" w:rsidRPr="00177AE1" w:rsidRDefault="00B1010E" w:rsidP="00031F31">
            <w:pPr>
              <w:spacing w:after="0" w:line="240" w:lineRule="auto"/>
              <w:jc w:val="center"/>
              <w:rPr>
                <w:rFonts w:ascii="Garamond" w:eastAsia="Times New Roman" w:hAnsi="Garamond" w:cs="Times New Roman"/>
                <w:b/>
                <w:bCs/>
                <w:color w:val="000000"/>
                <w:highlight w:val="yellow"/>
                <w:lang w:eastAsia="it-IT"/>
              </w:rPr>
            </w:pPr>
            <w:r w:rsidRPr="00B1010E">
              <w:rPr>
                <w:rFonts w:ascii="Garamond" w:eastAsia="Times New Roman" w:hAnsi="Garamond" w:cs="Times New Roman"/>
                <w:b/>
                <w:bCs/>
                <w:color w:val="000000"/>
                <w:lang w:eastAsia="it-IT"/>
              </w:rPr>
              <w:t>G</w:t>
            </w:r>
          </w:p>
        </w:tc>
        <w:tc>
          <w:tcPr>
            <w:tcW w:w="4646" w:type="pct"/>
            <w:gridSpan w:val="8"/>
            <w:shd w:val="clear" w:color="auto" w:fill="B4C6E7" w:themeFill="accent1" w:themeFillTint="66"/>
            <w:vAlign w:val="center"/>
          </w:tcPr>
          <w:p w14:paraId="1E01EDF4" w14:textId="3FAC8D30" w:rsidR="00031F31" w:rsidRPr="002555BF" w:rsidRDefault="00031F31" w:rsidP="00031F31">
            <w:pPr>
              <w:spacing w:after="0" w:line="240" w:lineRule="auto"/>
              <w:jc w:val="center"/>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Documenti Amministrativi e offerte</w:t>
            </w:r>
          </w:p>
        </w:tc>
      </w:tr>
      <w:tr w:rsidR="00031F31" w:rsidRPr="00023F3C" w14:paraId="1F3881CE" w14:textId="77777777" w:rsidTr="00B277D2">
        <w:trPr>
          <w:trHeight w:val="938"/>
        </w:trPr>
        <w:tc>
          <w:tcPr>
            <w:tcW w:w="354" w:type="pct"/>
            <w:shd w:val="clear" w:color="auto" w:fill="auto"/>
            <w:vAlign w:val="center"/>
          </w:tcPr>
          <w:p w14:paraId="1F67C193" w14:textId="62B1476B" w:rsidR="00031F31" w:rsidRPr="00CC6BE6" w:rsidRDefault="00031F31" w:rsidP="00031F31">
            <w:pPr>
              <w:spacing w:after="0" w:line="240" w:lineRule="auto"/>
              <w:jc w:val="center"/>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t>1</w:t>
            </w:r>
          </w:p>
        </w:tc>
        <w:tc>
          <w:tcPr>
            <w:tcW w:w="1371" w:type="pct"/>
            <w:shd w:val="clear" w:color="auto" w:fill="auto"/>
            <w:vAlign w:val="center"/>
          </w:tcPr>
          <w:p w14:paraId="6A79EA15" w14:textId="74B92B7E" w:rsidR="00031F31" w:rsidRDefault="00031F31" w:rsidP="00031F31">
            <w:pPr>
              <w:spacing w:after="0" w:line="240" w:lineRule="auto"/>
              <w:jc w:val="both"/>
              <w:rPr>
                <w:rFonts w:ascii="Garamond" w:eastAsia="Times New Roman" w:hAnsi="Garamond" w:cs="Times New Roman"/>
                <w:color w:val="000000"/>
                <w:highlight w:val="yellow"/>
                <w:lang w:eastAsia="it-IT"/>
              </w:rPr>
            </w:pPr>
            <w:r w:rsidRPr="00CC6BE6">
              <w:rPr>
                <w:rFonts w:ascii="Garamond" w:eastAsia="Times New Roman" w:hAnsi="Garamond" w:cs="Times New Roman"/>
                <w:color w:val="000000"/>
                <w:lang w:eastAsia="it-IT"/>
              </w:rPr>
              <w:t xml:space="preserve">I concorrenti hanno presentato il Documento di gara Unico Europeo (DGUE) ai sensi dell’art. </w:t>
            </w:r>
            <w:r>
              <w:rPr>
                <w:rFonts w:ascii="Garamond" w:eastAsia="Times New Roman" w:hAnsi="Garamond" w:cs="Times New Roman"/>
                <w:color w:val="000000"/>
                <w:lang w:eastAsia="it-IT"/>
              </w:rPr>
              <w:t>91</w:t>
            </w:r>
            <w:r w:rsidRPr="00CC6BE6">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 L</w:t>
            </w:r>
            <w:r w:rsidRPr="00CC6BE6">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p>
        </w:tc>
        <w:tc>
          <w:tcPr>
            <w:tcW w:w="133" w:type="pct"/>
            <w:shd w:val="clear" w:color="auto" w:fill="auto"/>
            <w:vAlign w:val="center"/>
          </w:tcPr>
          <w:p w14:paraId="621624FB"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0695ACF8"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37195C45"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62F5830E"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21D180A8"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7FB18E91" w14:textId="6C76BA2F"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59B752C0" w14:textId="77777777" w:rsidR="00031F31"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5B72E0AB" w:rsidR="00031F31" w:rsidRPr="002555BF"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031F31" w:rsidRPr="00023F3C" w14:paraId="76A6F8A1" w14:textId="77777777" w:rsidTr="00B277D2">
        <w:trPr>
          <w:trHeight w:val="938"/>
        </w:trPr>
        <w:tc>
          <w:tcPr>
            <w:tcW w:w="354" w:type="pct"/>
            <w:shd w:val="clear" w:color="auto" w:fill="auto"/>
            <w:vAlign w:val="center"/>
          </w:tcPr>
          <w:p w14:paraId="55D86D10" w14:textId="17B97AAD" w:rsidR="00031F31" w:rsidRPr="0044027F" w:rsidRDefault="00031F31" w:rsidP="00031F31">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2</w:t>
            </w:r>
          </w:p>
        </w:tc>
        <w:tc>
          <w:tcPr>
            <w:tcW w:w="1371" w:type="pct"/>
            <w:shd w:val="clear" w:color="auto" w:fill="auto"/>
            <w:vAlign w:val="center"/>
          </w:tcPr>
          <w:p w14:paraId="6ADCE59D" w14:textId="052C30F9" w:rsidR="00031F31" w:rsidRDefault="00031F31" w:rsidP="00031F31">
            <w:pPr>
              <w:spacing w:after="0" w:line="240" w:lineRule="auto"/>
              <w:jc w:val="both"/>
              <w:rPr>
                <w:rFonts w:ascii="Garamond" w:eastAsia="Times New Roman" w:hAnsi="Garamond" w:cs="Times New Roman"/>
                <w:color w:val="000000"/>
                <w:highlight w:val="yellow"/>
                <w:lang w:eastAsia="it-IT"/>
              </w:rPr>
            </w:pPr>
            <w:r w:rsidRPr="00167CFF">
              <w:rPr>
                <w:rFonts w:ascii="Garamond" w:hAnsi="Garamond"/>
                <w:color w:val="000000"/>
              </w:rPr>
              <w:t>Le offerte sono state presentate entro i termini previsti dal</w:t>
            </w:r>
            <w:r>
              <w:rPr>
                <w:rFonts w:ascii="Garamond" w:hAnsi="Garamond"/>
                <w:color w:val="000000"/>
              </w:rPr>
              <w:t>la lettera di invito?</w:t>
            </w:r>
          </w:p>
        </w:tc>
        <w:tc>
          <w:tcPr>
            <w:tcW w:w="133" w:type="pct"/>
            <w:shd w:val="clear" w:color="auto" w:fill="auto"/>
            <w:vAlign w:val="center"/>
          </w:tcPr>
          <w:p w14:paraId="376199F8"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365C8228"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15FA01D0"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332454C4"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266837E9"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13D4B2A1" w14:textId="3A10826C"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61D592A4" w14:textId="19E5CE87" w:rsidR="00031F31" w:rsidRPr="00622822"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Lettera di invito</w:t>
            </w:r>
          </w:p>
          <w:p w14:paraId="59679AB5" w14:textId="183168A0" w:rsidR="00031F31" w:rsidRPr="002555BF"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Gara/C</w:t>
            </w:r>
            <w:r w:rsidRPr="00622822">
              <w:rPr>
                <w:rFonts w:ascii="Garamond" w:eastAsia="Times New Roman" w:hAnsi="Garamond" w:cs="Times New Roman"/>
                <w:color w:val="000000"/>
                <w:lang w:eastAsia="it-IT"/>
              </w:rPr>
              <w:t>ommissione</w:t>
            </w:r>
          </w:p>
        </w:tc>
      </w:tr>
      <w:tr w:rsidR="00031F31" w:rsidRPr="00023F3C" w14:paraId="78992FA1" w14:textId="77777777" w:rsidTr="00B277D2">
        <w:trPr>
          <w:trHeight w:val="938"/>
        </w:trPr>
        <w:tc>
          <w:tcPr>
            <w:tcW w:w="354" w:type="pct"/>
            <w:shd w:val="clear" w:color="auto" w:fill="auto"/>
            <w:vAlign w:val="center"/>
          </w:tcPr>
          <w:p w14:paraId="7E9D2162" w14:textId="41A40A13" w:rsidR="00031F31" w:rsidRPr="0044027F" w:rsidRDefault="00031F31" w:rsidP="00031F31">
            <w:pPr>
              <w:spacing w:after="0" w:line="240" w:lineRule="auto"/>
              <w:jc w:val="center"/>
              <w:rPr>
                <w:rFonts w:ascii="Garamond" w:eastAsia="Times New Roman" w:hAnsi="Garamond" w:cs="Times New Roman"/>
                <w:color w:val="000000"/>
                <w:lang w:eastAsia="it-IT"/>
              </w:rPr>
            </w:pPr>
            <w:r w:rsidRPr="0044027F">
              <w:rPr>
                <w:rFonts w:ascii="Garamond" w:eastAsia="Times New Roman" w:hAnsi="Garamond" w:cs="Times New Roman"/>
                <w:color w:val="000000"/>
                <w:lang w:eastAsia="it-IT"/>
              </w:rPr>
              <w:t>3</w:t>
            </w:r>
          </w:p>
        </w:tc>
        <w:tc>
          <w:tcPr>
            <w:tcW w:w="1371" w:type="pct"/>
            <w:shd w:val="clear" w:color="auto" w:fill="auto"/>
            <w:vAlign w:val="center"/>
          </w:tcPr>
          <w:p w14:paraId="6D16B831" w14:textId="0EEA9220" w:rsidR="00031F31" w:rsidRDefault="00031F31" w:rsidP="00031F31">
            <w:pPr>
              <w:spacing w:after="0" w:line="240" w:lineRule="auto"/>
              <w:jc w:val="both"/>
              <w:rPr>
                <w:rFonts w:ascii="Garamond" w:eastAsia="Times New Roman" w:hAnsi="Garamond" w:cs="Times New Roman"/>
                <w:color w:val="000000"/>
                <w:lang w:eastAsia="it-IT"/>
              </w:rPr>
            </w:pPr>
            <w:r w:rsidRPr="00B33E69">
              <w:rPr>
                <w:rFonts w:ascii="Garamond" w:eastAsia="Times New Roman" w:hAnsi="Garamond" w:cs="Times New Roman"/>
                <w:color w:val="000000"/>
                <w:lang w:eastAsia="it-IT"/>
              </w:rPr>
              <w:t xml:space="preserve">Sono state aperte in seduta pubblica alla data specificata dalla </w:t>
            </w:r>
            <w:r>
              <w:rPr>
                <w:rFonts w:ascii="Garamond" w:eastAsia="Times New Roman" w:hAnsi="Garamond" w:cs="Times New Roman"/>
                <w:color w:val="000000"/>
                <w:lang w:eastAsia="it-IT"/>
              </w:rPr>
              <w:t>Stazione Appaltante</w:t>
            </w:r>
            <w:r w:rsidRPr="00B33E69">
              <w:rPr>
                <w:rFonts w:ascii="Garamond" w:eastAsia="Times New Roman" w:hAnsi="Garamond" w:cs="Times New Roman"/>
                <w:color w:val="000000"/>
                <w:lang w:eastAsia="it-IT"/>
              </w:rPr>
              <w:t xml:space="preserve"> nella documentazione di gara e/o in una successiva comunicazione le buste contenenti:</w:t>
            </w:r>
            <w:r>
              <w:rPr>
                <w:rFonts w:ascii="Garamond" w:eastAsia="Times New Roman" w:hAnsi="Garamond" w:cs="Times New Roman"/>
                <w:color w:val="000000"/>
                <w:lang w:eastAsia="it-IT"/>
              </w:rPr>
              <w:t xml:space="preserve"> </w:t>
            </w:r>
          </w:p>
          <w:p w14:paraId="1BA518ED" w14:textId="4D2362D4" w:rsidR="00031F31" w:rsidRPr="00F664CC" w:rsidRDefault="00031F31" w:rsidP="00031F31">
            <w:pPr>
              <w:pStyle w:val="ListParagraph"/>
              <w:numPr>
                <w:ilvl w:val="0"/>
                <w:numId w:val="13"/>
              </w:numPr>
              <w:spacing w:after="0" w:line="240" w:lineRule="auto"/>
              <w:jc w:val="both"/>
              <w:rPr>
                <w:rFonts w:ascii="Garamond" w:eastAsia="Times New Roman" w:hAnsi="Garamond" w:cs="Times New Roman"/>
                <w:color w:val="000000"/>
                <w:lang w:eastAsia="it-IT"/>
              </w:rPr>
            </w:pPr>
            <w:r w:rsidRPr="00F664CC">
              <w:rPr>
                <w:rFonts w:ascii="Garamond" w:eastAsia="Times New Roman" w:hAnsi="Garamond" w:cs="Times New Roman"/>
                <w:color w:val="000000"/>
                <w:lang w:eastAsia="it-IT"/>
              </w:rPr>
              <w:t>Documentazione amministrativa</w:t>
            </w:r>
            <w:r>
              <w:rPr>
                <w:rFonts w:ascii="Garamond" w:eastAsia="Times New Roman" w:hAnsi="Garamond" w:cs="Times New Roman"/>
                <w:color w:val="000000"/>
                <w:lang w:eastAsia="it-IT"/>
              </w:rPr>
              <w:t>?</w:t>
            </w:r>
          </w:p>
          <w:p w14:paraId="27BA0FF2" w14:textId="61933661" w:rsidR="00031F31" w:rsidRDefault="00031F31" w:rsidP="00031F31">
            <w:pPr>
              <w:pStyle w:val="ListParagraph"/>
              <w:numPr>
                <w:ilvl w:val="0"/>
                <w:numId w:val="13"/>
              </w:numPr>
              <w:spacing w:after="0" w:line="240" w:lineRule="auto"/>
              <w:jc w:val="both"/>
              <w:rPr>
                <w:rFonts w:ascii="Garamond" w:eastAsia="Times New Roman" w:hAnsi="Garamond" w:cs="Times New Roman"/>
                <w:color w:val="000000"/>
                <w:lang w:eastAsia="it-IT"/>
              </w:rPr>
            </w:pPr>
            <w:r w:rsidRPr="000461B3">
              <w:rPr>
                <w:rFonts w:ascii="Garamond" w:eastAsia="Times New Roman" w:hAnsi="Garamond" w:cs="Times New Roman"/>
                <w:color w:val="000000"/>
                <w:lang w:eastAsia="it-IT"/>
              </w:rPr>
              <w:lastRenderedPageBreak/>
              <w:t>Offerta tecnica</w:t>
            </w:r>
            <w:r>
              <w:rPr>
                <w:rFonts w:ascii="Garamond" w:eastAsia="Times New Roman" w:hAnsi="Garamond" w:cs="Times New Roman"/>
                <w:color w:val="000000"/>
                <w:lang w:eastAsia="it-IT"/>
              </w:rPr>
              <w:t xml:space="preserve"> (se prevista)? </w:t>
            </w:r>
          </w:p>
          <w:p w14:paraId="28027435" w14:textId="679A1F7F" w:rsidR="00031F31" w:rsidRPr="00EE2927" w:rsidRDefault="00031F31" w:rsidP="00031F31">
            <w:pPr>
              <w:pStyle w:val="ListParagraph"/>
              <w:numPr>
                <w:ilvl w:val="0"/>
                <w:numId w:val="13"/>
              </w:numPr>
              <w:spacing w:after="0" w:line="240" w:lineRule="auto"/>
              <w:jc w:val="both"/>
              <w:rPr>
                <w:rFonts w:ascii="Garamond" w:eastAsia="Times New Roman" w:hAnsi="Garamond" w:cs="Times New Roman"/>
                <w:color w:val="000000"/>
                <w:lang w:eastAsia="it-IT"/>
              </w:rPr>
            </w:pPr>
            <w:r w:rsidRPr="00EE2927">
              <w:rPr>
                <w:rFonts w:ascii="Garamond" w:hAnsi="Garamond"/>
                <w:color w:val="000000"/>
              </w:rPr>
              <w:t>Offerta economica</w:t>
            </w:r>
            <w:r>
              <w:rPr>
                <w:rFonts w:ascii="Garamond" w:hAnsi="Garamond"/>
                <w:color w:val="000000"/>
              </w:rPr>
              <w:t>?</w:t>
            </w:r>
          </w:p>
        </w:tc>
        <w:tc>
          <w:tcPr>
            <w:tcW w:w="133" w:type="pct"/>
            <w:shd w:val="clear" w:color="auto" w:fill="auto"/>
            <w:vAlign w:val="center"/>
          </w:tcPr>
          <w:p w14:paraId="0130DF10"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77" w:type="pct"/>
            <w:shd w:val="clear" w:color="auto" w:fill="auto"/>
            <w:vAlign w:val="center"/>
          </w:tcPr>
          <w:p w14:paraId="4AEA1911"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11D07A1F"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531" w:type="pct"/>
            <w:shd w:val="clear" w:color="auto" w:fill="auto"/>
            <w:vAlign w:val="center"/>
          </w:tcPr>
          <w:p w14:paraId="05E9A725"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662" w:type="pct"/>
          </w:tcPr>
          <w:p w14:paraId="46B25C3B" w14:textId="77777777"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399" w:type="pct"/>
            <w:shd w:val="clear" w:color="auto" w:fill="auto"/>
            <w:vAlign w:val="center"/>
          </w:tcPr>
          <w:p w14:paraId="6FBDEC89" w14:textId="4BDBB4C2" w:rsidR="00031F31" w:rsidRPr="00683A3C" w:rsidRDefault="00031F31" w:rsidP="00031F31">
            <w:pPr>
              <w:spacing w:after="0" w:line="240" w:lineRule="auto"/>
              <w:jc w:val="both"/>
              <w:rPr>
                <w:rFonts w:ascii="Garamond" w:eastAsia="Times New Roman" w:hAnsi="Garamond" w:cs="Times New Roman"/>
                <w:b/>
                <w:bCs/>
                <w:color w:val="000000"/>
                <w:highlight w:val="yellow"/>
                <w:lang w:eastAsia="it-IT"/>
              </w:rPr>
            </w:pPr>
          </w:p>
        </w:tc>
        <w:tc>
          <w:tcPr>
            <w:tcW w:w="1151" w:type="pct"/>
            <w:vAlign w:val="center"/>
          </w:tcPr>
          <w:p w14:paraId="64284984" w14:textId="77777777" w:rsidR="00031F31" w:rsidRPr="002555BF"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031F31" w:rsidRPr="00023F3C" w14:paraId="43BEC9E6" w14:textId="77777777" w:rsidTr="00DD4D66">
        <w:trPr>
          <w:trHeight w:val="735"/>
        </w:trPr>
        <w:tc>
          <w:tcPr>
            <w:tcW w:w="354" w:type="pct"/>
            <w:shd w:val="clear" w:color="auto" w:fill="B8CCE4"/>
            <w:vAlign w:val="center"/>
          </w:tcPr>
          <w:p w14:paraId="27C53C29" w14:textId="5DA9D816" w:rsidR="00031F31" w:rsidRPr="00683A3C" w:rsidRDefault="00B1010E" w:rsidP="00031F3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H</w:t>
            </w:r>
          </w:p>
        </w:tc>
        <w:tc>
          <w:tcPr>
            <w:tcW w:w="4646" w:type="pct"/>
            <w:gridSpan w:val="8"/>
            <w:shd w:val="clear" w:color="auto" w:fill="B8CCE4"/>
            <w:vAlign w:val="center"/>
          </w:tcPr>
          <w:p w14:paraId="08FBECF9" w14:textId="1D018E85" w:rsidR="00031F31" w:rsidRPr="00DD4D66" w:rsidRDefault="00031F31" w:rsidP="00031F31">
            <w:pPr>
              <w:spacing w:after="0" w:line="240" w:lineRule="auto"/>
              <w:jc w:val="center"/>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giudicatrice e aggiudicazione</w:t>
            </w:r>
          </w:p>
        </w:tc>
      </w:tr>
      <w:tr w:rsidR="00031F31" w:rsidRPr="00023F3C" w14:paraId="77A279C3" w14:textId="77777777" w:rsidTr="00B277D2">
        <w:trPr>
          <w:trHeight w:val="1417"/>
        </w:trPr>
        <w:tc>
          <w:tcPr>
            <w:tcW w:w="354" w:type="pct"/>
            <w:shd w:val="clear" w:color="auto" w:fill="auto"/>
            <w:vAlign w:val="center"/>
          </w:tcPr>
          <w:p w14:paraId="0954544D" w14:textId="3B8A1351"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371" w:type="pct"/>
            <w:shd w:val="clear" w:color="auto" w:fill="auto"/>
            <w:vAlign w:val="center"/>
          </w:tcPr>
          <w:p w14:paraId="0332B5FD" w14:textId="754375C8" w:rsidR="00031F31"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w:t>
            </w:r>
            <w:r w:rsidRPr="00165B93">
              <w:rPr>
                <w:rFonts w:ascii="Garamond" w:eastAsia="Times New Roman" w:hAnsi="Garamond" w:cs="Times New Roman"/>
                <w:color w:val="000000"/>
                <w:lang w:eastAsia="it-IT"/>
              </w:rPr>
              <w:t xml:space="preserve">n caso di aggiudicazione con il criterio dell’offerta economicamente più vantaggiosa </w:t>
            </w:r>
            <w:r>
              <w:rPr>
                <w:rFonts w:ascii="Garamond" w:eastAsia="Times New Roman" w:hAnsi="Garamond" w:cs="Times New Roman"/>
                <w:color w:val="000000"/>
                <w:lang w:eastAsia="it-IT"/>
              </w:rPr>
              <w:t xml:space="preserve">(OEPV) è stata nominata la Commissione giudicatrice </w:t>
            </w:r>
            <w:r w:rsidRPr="003A47C0">
              <w:rPr>
                <w:rFonts w:ascii="Garamond" w:eastAsia="Times New Roman" w:hAnsi="Garamond" w:cs="Times New Roman"/>
                <w:color w:val="000000"/>
                <w:lang w:eastAsia="it-IT"/>
              </w:rPr>
              <w:t>successivamente alla scadenza dei termini per la presentazione delle offerte</w:t>
            </w:r>
            <w:r>
              <w:rPr>
                <w:rFonts w:ascii="Garamond" w:eastAsia="Times New Roman" w:hAnsi="Garamond" w:cs="Times New Roman"/>
                <w:color w:val="000000"/>
                <w:lang w:eastAsia="it-IT"/>
              </w:rPr>
              <w:t xml:space="preserve"> (art. 93, comma 1, del D. Lgs. 36/2023)</w:t>
            </w:r>
            <w:r w:rsidRPr="003A47C0">
              <w:rPr>
                <w:rFonts w:ascii="Garamond" w:eastAsia="Times New Roman" w:hAnsi="Garamond" w:cs="Times New Roman"/>
                <w:color w:val="000000"/>
                <w:lang w:eastAsia="it-IT"/>
              </w:rPr>
              <w:t>?</w:t>
            </w:r>
          </w:p>
        </w:tc>
        <w:tc>
          <w:tcPr>
            <w:tcW w:w="133" w:type="pct"/>
            <w:shd w:val="clear" w:color="auto" w:fill="auto"/>
            <w:vAlign w:val="center"/>
          </w:tcPr>
          <w:p w14:paraId="4B7C5E3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D380DE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A7A02D3"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5CB4393" w14:textId="77777777" w:rsidR="00031F31" w:rsidRPr="000D5884"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17FD046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41EC3FF6" w14:textId="70E839C4"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F5E86E1" w14:textId="77777777" w:rsidR="00031F31" w:rsidRPr="00B300E4" w:rsidRDefault="00031F31" w:rsidP="00031F31">
            <w:pPr>
              <w:spacing w:after="0" w:line="240" w:lineRule="auto"/>
              <w:jc w:val="both"/>
              <w:rPr>
                <w:rFonts w:ascii="Garamond" w:eastAsia="Times New Roman" w:hAnsi="Garamond" w:cs="Times New Roman"/>
                <w:color w:val="000000"/>
                <w:lang w:eastAsia="it-IT"/>
              </w:rPr>
            </w:pPr>
            <w:r w:rsidRPr="00B300E4">
              <w:rPr>
                <w:rFonts w:ascii="Garamond" w:eastAsia="Times New Roman" w:hAnsi="Garamond" w:cs="Times New Roman"/>
                <w:color w:val="000000"/>
                <w:lang w:eastAsia="it-IT"/>
              </w:rPr>
              <w:t>• Atto di nomina dei commissari e di costituzione della Commissione</w:t>
            </w:r>
          </w:p>
          <w:p w14:paraId="428909B2" w14:textId="5E221AC0" w:rsidR="00031F31" w:rsidRPr="00B300E4" w:rsidRDefault="00031F31" w:rsidP="00031F31">
            <w:pPr>
              <w:spacing w:after="0" w:line="240" w:lineRule="auto"/>
              <w:jc w:val="both"/>
              <w:rPr>
                <w:rFonts w:ascii="Garamond" w:eastAsia="Times New Roman" w:hAnsi="Garamond" w:cs="Times New Roman"/>
                <w:color w:val="000000"/>
                <w:lang w:eastAsia="it-IT"/>
              </w:rPr>
            </w:pPr>
            <w:r w:rsidRPr="00B300E4">
              <w:rPr>
                <w:rFonts w:ascii="Garamond" w:eastAsia="Times New Roman" w:hAnsi="Garamond" w:cs="Times New Roman"/>
                <w:color w:val="000000"/>
                <w:lang w:eastAsia="it-IT"/>
              </w:rPr>
              <w:t xml:space="preserve">• Eventuale regolamento interno alla </w:t>
            </w:r>
            <w:r>
              <w:rPr>
                <w:rFonts w:ascii="Garamond" w:eastAsia="Times New Roman" w:hAnsi="Garamond" w:cs="Times New Roman"/>
                <w:color w:val="000000"/>
                <w:lang w:eastAsia="it-IT"/>
              </w:rPr>
              <w:t>Stazione Appaltante</w:t>
            </w:r>
            <w:r w:rsidRPr="00B300E4">
              <w:rPr>
                <w:rFonts w:ascii="Garamond" w:eastAsia="Times New Roman" w:hAnsi="Garamond" w:cs="Times New Roman"/>
                <w:color w:val="000000"/>
                <w:lang w:eastAsia="it-IT"/>
              </w:rPr>
              <w:t xml:space="preserve"> </w:t>
            </w:r>
          </w:p>
          <w:p w14:paraId="7F8F4A75" w14:textId="2C7B56AA" w:rsidR="00031F31" w:rsidRPr="00B300E4" w:rsidRDefault="00031F31" w:rsidP="00031F31">
            <w:pPr>
              <w:spacing w:after="0" w:line="240" w:lineRule="auto"/>
              <w:jc w:val="both"/>
              <w:rPr>
                <w:rFonts w:ascii="Garamond" w:eastAsia="Times New Roman" w:hAnsi="Garamond" w:cs="Times New Roman"/>
                <w:color w:val="000000"/>
                <w:lang w:eastAsia="it-IT"/>
              </w:rPr>
            </w:pPr>
          </w:p>
          <w:p w14:paraId="1E45D253" w14:textId="5175EA68" w:rsidR="00031F31" w:rsidRPr="00B84D2B" w:rsidRDefault="00031F31" w:rsidP="00031F31">
            <w:pPr>
              <w:spacing w:after="0" w:line="240" w:lineRule="auto"/>
              <w:jc w:val="both"/>
              <w:rPr>
                <w:rFonts w:ascii="Garamond" w:eastAsia="Times New Roman" w:hAnsi="Garamond" w:cs="Times New Roman"/>
                <w:color w:val="000000"/>
                <w:highlight w:val="yellow"/>
                <w:lang w:eastAsia="it-IT"/>
              </w:rPr>
            </w:pPr>
          </w:p>
        </w:tc>
      </w:tr>
      <w:tr w:rsidR="00031F31" w:rsidRPr="00023F3C" w14:paraId="75F53BA5" w14:textId="77777777" w:rsidTr="00B277D2">
        <w:trPr>
          <w:trHeight w:val="1417"/>
        </w:trPr>
        <w:tc>
          <w:tcPr>
            <w:tcW w:w="354" w:type="pct"/>
            <w:shd w:val="clear" w:color="auto" w:fill="auto"/>
            <w:vAlign w:val="center"/>
          </w:tcPr>
          <w:p w14:paraId="2F263636" w14:textId="77777777"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371" w:type="pct"/>
            <w:shd w:val="clear" w:color="auto" w:fill="auto"/>
            <w:vAlign w:val="center"/>
          </w:tcPr>
          <w:p w14:paraId="67FA7F92" w14:textId="48C9D54D" w:rsidR="00031F31"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Commissione giudicatrice è </w:t>
            </w:r>
            <w:r w:rsidRPr="00E37BC7">
              <w:rPr>
                <w:rFonts w:ascii="Garamond" w:eastAsia="Times New Roman" w:hAnsi="Garamond" w:cs="Times New Roman"/>
                <w:color w:val="000000"/>
                <w:lang w:eastAsia="it-IT"/>
              </w:rPr>
              <w:t>composta da un numero dispari di componenti, in numero massimo di cinque, esperti nello specifico settore cui si riferisce l’oggetto del contratto</w:t>
            </w:r>
            <w:r>
              <w:rPr>
                <w:rFonts w:ascii="Garamond" w:eastAsia="Times New Roman" w:hAnsi="Garamond" w:cs="Times New Roman"/>
                <w:color w:val="000000"/>
                <w:lang w:eastAsia="it-IT"/>
              </w:rPr>
              <w:t xml:space="preserve"> (art. 93, comma 2, del D. Lgs. 36/2023)</w:t>
            </w:r>
            <w:r w:rsidRPr="00E37BC7">
              <w:rPr>
                <w:rFonts w:ascii="Garamond" w:eastAsia="Times New Roman" w:hAnsi="Garamond" w:cs="Times New Roman"/>
                <w:color w:val="000000"/>
                <w:lang w:eastAsia="it-IT"/>
              </w:rPr>
              <w:t>?</w:t>
            </w:r>
          </w:p>
        </w:tc>
        <w:tc>
          <w:tcPr>
            <w:tcW w:w="133" w:type="pct"/>
            <w:shd w:val="clear" w:color="auto" w:fill="auto"/>
            <w:vAlign w:val="center"/>
          </w:tcPr>
          <w:p w14:paraId="0FFCE89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473DFE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C6205E7"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78925FD" w14:textId="77777777" w:rsidR="00031F31" w:rsidRPr="00910E31"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030016D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63834827" w14:textId="64434021"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3E73FA14" w14:textId="77777777" w:rsidR="00031F31" w:rsidRPr="007026AC" w:rsidRDefault="00031F31" w:rsidP="00031F3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7026AC">
              <w:rPr>
                <w:rFonts w:ascii="Garamond" w:eastAsia="Times New Roman" w:hAnsi="Garamond" w:cs="Times New Roman"/>
                <w:color w:val="000000"/>
                <w:lang w:eastAsia="it-IT"/>
              </w:rPr>
              <w:t>Atto di nomina dei commissari e di costituzione della Commissione</w:t>
            </w:r>
          </w:p>
          <w:p w14:paraId="024D990D" w14:textId="3D2FF840" w:rsidR="00031F31" w:rsidRPr="00023F3C" w:rsidRDefault="00031F31" w:rsidP="00031F31">
            <w:pPr>
              <w:spacing w:after="0" w:line="240" w:lineRule="auto"/>
              <w:jc w:val="both"/>
              <w:rPr>
                <w:rFonts w:ascii="Garamond" w:eastAsia="Times New Roman" w:hAnsi="Garamond" w:cs="Times New Roman"/>
                <w:color w:val="000000"/>
                <w:lang w:eastAsia="it-IT"/>
              </w:rPr>
            </w:pPr>
          </w:p>
        </w:tc>
      </w:tr>
      <w:tr w:rsidR="00031F31" w:rsidRPr="00023F3C" w14:paraId="5F697C7E" w14:textId="77777777" w:rsidTr="008851AB">
        <w:trPr>
          <w:trHeight w:val="1417"/>
        </w:trPr>
        <w:tc>
          <w:tcPr>
            <w:tcW w:w="354" w:type="pct"/>
            <w:shd w:val="clear" w:color="auto" w:fill="auto"/>
            <w:vAlign w:val="center"/>
          </w:tcPr>
          <w:p w14:paraId="5BFE246D" w14:textId="77777777"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371" w:type="pct"/>
            <w:shd w:val="clear" w:color="auto" w:fill="auto"/>
            <w:vAlign w:val="center"/>
          </w:tcPr>
          <w:p w14:paraId="3FC84157" w14:textId="63FB360C" w:rsidR="00031F31" w:rsidRDefault="00031F31" w:rsidP="00031F31">
            <w:pPr>
              <w:spacing w:after="0" w:line="240" w:lineRule="auto"/>
              <w:jc w:val="both"/>
              <w:rPr>
                <w:rFonts w:ascii="Garamond" w:eastAsia="Times New Roman" w:hAnsi="Garamond" w:cs="Times New Roman"/>
                <w:color w:val="000000"/>
                <w:lang w:eastAsia="it-IT"/>
              </w:rPr>
            </w:pPr>
            <w:r w:rsidRPr="00231718">
              <w:rPr>
                <w:rFonts w:ascii="Garamond" w:eastAsia="Times New Roman" w:hAnsi="Garamond" w:cs="Times New Roman"/>
                <w:lang w:eastAsia="it-IT"/>
              </w:rPr>
              <w:t>Sono state acquisite le dichiarazioni attestanti l’insussistenza di cause di incompatibilità  dei componenti</w:t>
            </w:r>
            <w:r w:rsidRPr="00FA1874">
              <w:rPr>
                <w:rFonts w:ascii="Garamond" w:eastAsia="Times New Roman" w:hAnsi="Garamond" w:cs="Times New Roman"/>
                <w:lang w:eastAsia="it-IT"/>
              </w:rPr>
              <w:t xml:space="preserve"> della </w:t>
            </w:r>
            <w:r>
              <w:rPr>
                <w:rFonts w:ascii="Garamond" w:eastAsia="Times New Roman" w:hAnsi="Garamond" w:cs="Times New Roman"/>
                <w:lang w:eastAsia="it-IT"/>
              </w:rPr>
              <w:t>C</w:t>
            </w:r>
            <w:r w:rsidRPr="00FA1874">
              <w:rPr>
                <w:rFonts w:ascii="Garamond" w:eastAsia="Times New Roman" w:hAnsi="Garamond" w:cs="Times New Roman"/>
                <w:lang w:eastAsia="it-IT"/>
              </w:rPr>
              <w:t>ommissione giudicatrice?</w:t>
            </w:r>
          </w:p>
        </w:tc>
        <w:tc>
          <w:tcPr>
            <w:tcW w:w="133" w:type="pct"/>
            <w:shd w:val="clear" w:color="auto" w:fill="auto"/>
            <w:vAlign w:val="center"/>
          </w:tcPr>
          <w:p w14:paraId="007F74F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4B79AE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2BD471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25DEA4E" w14:textId="77777777" w:rsidR="00031F31" w:rsidRPr="00910E31" w:rsidRDefault="00031F31" w:rsidP="00031F31">
            <w:pPr>
              <w:spacing w:after="0" w:line="240" w:lineRule="auto"/>
              <w:jc w:val="both"/>
              <w:rPr>
                <w:rFonts w:ascii="Garamond" w:eastAsia="Times New Roman" w:hAnsi="Garamond" w:cs="Times New Roman"/>
                <w:color w:val="000000"/>
                <w:lang w:eastAsia="it-IT"/>
              </w:rPr>
            </w:pPr>
          </w:p>
        </w:tc>
        <w:tc>
          <w:tcPr>
            <w:tcW w:w="662" w:type="pct"/>
            <w:vAlign w:val="center"/>
          </w:tcPr>
          <w:p w14:paraId="2E6E6652" w14:textId="0D1BF62C" w:rsidR="00031F31" w:rsidRPr="00B300E4"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7F28E76" w14:textId="02F93B8E" w:rsidR="00031F31" w:rsidRPr="00B300E4"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38B3B2A" w14:textId="297DFC5E" w:rsidR="00031F31" w:rsidRPr="00B300E4" w:rsidRDefault="00031F31" w:rsidP="00031F31">
            <w:pPr>
              <w:spacing w:after="0" w:line="240" w:lineRule="auto"/>
              <w:jc w:val="both"/>
              <w:rPr>
                <w:rFonts w:ascii="Garamond" w:eastAsia="Times New Roman" w:hAnsi="Garamond" w:cs="Times New Roman"/>
                <w:color w:val="000000"/>
                <w:lang w:eastAsia="it-IT"/>
              </w:rPr>
            </w:pPr>
            <w:r w:rsidRPr="00FA1874">
              <w:rPr>
                <w:rFonts w:ascii="Garamond" w:eastAsia="Times New Roman" w:hAnsi="Garamond" w:cs="Times New Roman"/>
                <w:lang w:eastAsia="it-IT"/>
              </w:rPr>
              <w:t>• Dichiarazioni di insussistenza di cause di incompatibilità</w:t>
            </w:r>
          </w:p>
        </w:tc>
      </w:tr>
      <w:tr w:rsidR="00031F31" w:rsidRPr="00023F3C" w14:paraId="01D2765E" w14:textId="77777777" w:rsidTr="00E54177">
        <w:trPr>
          <w:trHeight w:val="842"/>
        </w:trPr>
        <w:tc>
          <w:tcPr>
            <w:tcW w:w="354" w:type="pct"/>
            <w:shd w:val="clear" w:color="auto" w:fill="auto"/>
            <w:vAlign w:val="center"/>
          </w:tcPr>
          <w:p w14:paraId="0C44A388" w14:textId="01858048"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371" w:type="pct"/>
            <w:shd w:val="clear" w:color="auto" w:fill="auto"/>
            <w:vAlign w:val="center"/>
          </w:tcPr>
          <w:p w14:paraId="40423CE6" w14:textId="7A0D50CB" w:rsidR="00031F31" w:rsidRDefault="00031F31" w:rsidP="00031F31">
            <w:pPr>
              <w:spacing w:after="0" w:line="240" w:lineRule="auto"/>
              <w:jc w:val="both"/>
              <w:rPr>
                <w:rFonts w:ascii="Garamond" w:eastAsia="Times New Roman" w:hAnsi="Garamond" w:cs="Times New Roman"/>
                <w:color w:val="000000"/>
                <w:lang w:eastAsia="it-IT"/>
              </w:rPr>
            </w:pPr>
            <w:r w:rsidRPr="00FE1811">
              <w:rPr>
                <w:rFonts w:ascii="Garamond" w:eastAsia="Times New Roman" w:hAnsi="Garamond" w:cs="Times New Roman"/>
                <w:color w:val="000000"/>
                <w:lang w:eastAsia="it-IT"/>
              </w:rPr>
              <w:t>La verifica dei requisiti generali è avvenuta tenendo conto dei motivi di esclusione previsti all'art. 94 e 95 del D. Lgs. 36/2023?</w:t>
            </w:r>
          </w:p>
        </w:tc>
        <w:tc>
          <w:tcPr>
            <w:tcW w:w="133" w:type="pct"/>
            <w:shd w:val="clear" w:color="auto" w:fill="auto"/>
            <w:vAlign w:val="center"/>
          </w:tcPr>
          <w:p w14:paraId="482708A3"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C83413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2689E7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293EE68"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vAlign w:val="center"/>
          </w:tcPr>
          <w:p w14:paraId="6B5D7AB1" w14:textId="04BFB886"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702DE804" w14:textId="3F062F9D"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2C2AD24C" w14:textId="7D05EFF6" w:rsidR="00031F31" w:rsidRPr="00023F3C" w:rsidRDefault="00031F31" w:rsidP="00031F31">
            <w:pPr>
              <w:spacing w:after="0" w:line="240" w:lineRule="auto"/>
              <w:jc w:val="both"/>
              <w:rPr>
                <w:rFonts w:ascii="Garamond" w:eastAsia="Times New Roman" w:hAnsi="Garamond" w:cs="Times New Roman"/>
                <w:color w:val="000000"/>
                <w:lang w:eastAsia="it-IT"/>
              </w:rPr>
            </w:pPr>
            <w:r w:rsidRPr="00FE1811">
              <w:rPr>
                <w:rFonts w:ascii="Garamond" w:eastAsia="Times New Roman" w:hAnsi="Garamond" w:cs="Times New Roman"/>
                <w:color w:val="000000"/>
                <w:lang w:eastAsia="it-IT"/>
              </w:rPr>
              <w:t>• Verbali RUP/Seggio di Gara/ Commissione giudicatrice</w:t>
            </w:r>
          </w:p>
        </w:tc>
      </w:tr>
      <w:tr w:rsidR="00031F31" w:rsidRPr="00023F3C" w14:paraId="7401868E" w14:textId="77777777" w:rsidTr="003A47FD">
        <w:trPr>
          <w:trHeight w:val="1487"/>
        </w:trPr>
        <w:tc>
          <w:tcPr>
            <w:tcW w:w="354" w:type="pct"/>
            <w:shd w:val="clear" w:color="auto" w:fill="auto"/>
            <w:vAlign w:val="center"/>
          </w:tcPr>
          <w:p w14:paraId="5A82BB1A" w14:textId="1CFC4B78"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371" w:type="pct"/>
            <w:shd w:val="clear" w:color="auto" w:fill="auto"/>
            <w:vAlign w:val="center"/>
          </w:tcPr>
          <w:p w14:paraId="6450C968" w14:textId="77777777" w:rsidR="00031F31" w:rsidRPr="00B33E69" w:rsidRDefault="00031F31" w:rsidP="00031F31">
            <w:pPr>
              <w:spacing w:after="0" w:line="240" w:lineRule="auto"/>
              <w:jc w:val="both"/>
              <w:rPr>
                <w:rFonts w:ascii="Garamond" w:eastAsia="Times New Roman" w:hAnsi="Garamond" w:cs="Times New Roman"/>
                <w:color w:val="000000"/>
                <w:lang w:eastAsia="it-IT"/>
              </w:rPr>
            </w:pPr>
            <w:r w:rsidRPr="00ED38B9">
              <w:rPr>
                <w:rFonts w:ascii="Garamond" w:eastAsia="Times New Roman" w:hAnsi="Garamond" w:cs="Times New Roman"/>
                <w:color w:val="000000"/>
                <w:lang w:eastAsia="it-IT"/>
              </w:rPr>
              <w:t>Sono stati redatti i verbali delle operazioni di gara da parte del RUP e/o dalla Commissione giudicatrice?</w:t>
            </w:r>
          </w:p>
        </w:tc>
        <w:tc>
          <w:tcPr>
            <w:tcW w:w="133" w:type="pct"/>
            <w:shd w:val="clear" w:color="auto" w:fill="auto"/>
            <w:vAlign w:val="center"/>
          </w:tcPr>
          <w:p w14:paraId="0A4B896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EE2059D"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FFE146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16282E0"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p>
        </w:tc>
        <w:tc>
          <w:tcPr>
            <w:tcW w:w="662" w:type="pct"/>
            <w:shd w:val="clear" w:color="auto" w:fill="auto"/>
          </w:tcPr>
          <w:p w14:paraId="16B4E0EA" w14:textId="2D6BF4CF"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B4386B8" w14:textId="1F4AE160"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shd w:val="clear" w:color="auto" w:fill="auto"/>
            <w:vAlign w:val="center"/>
          </w:tcPr>
          <w:p w14:paraId="4894154A" w14:textId="77777777" w:rsidR="00031F31" w:rsidRPr="00023F3C"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r w:rsidRPr="00622822" w:rsidDel="00EE3129">
              <w:rPr>
                <w:rFonts w:ascii="Garamond" w:eastAsia="Times New Roman" w:hAnsi="Garamond" w:cs="Times New Roman"/>
                <w:color w:val="000000"/>
                <w:lang w:eastAsia="it-IT"/>
              </w:rPr>
              <w:t xml:space="preserve"> </w:t>
            </w:r>
          </w:p>
        </w:tc>
      </w:tr>
      <w:tr w:rsidR="00031F31" w:rsidRPr="00023F3C" w14:paraId="4CA026C3" w14:textId="77777777" w:rsidTr="00E967BE">
        <w:trPr>
          <w:trHeight w:val="1417"/>
        </w:trPr>
        <w:tc>
          <w:tcPr>
            <w:tcW w:w="354" w:type="pct"/>
            <w:shd w:val="clear" w:color="auto" w:fill="auto"/>
            <w:vAlign w:val="center"/>
          </w:tcPr>
          <w:p w14:paraId="7993EB25" w14:textId="15E7E934"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371" w:type="pct"/>
            <w:shd w:val="clear" w:color="auto" w:fill="auto"/>
            <w:vAlign w:val="center"/>
          </w:tcPr>
          <w:p w14:paraId="3DD61E6C" w14:textId="77777777" w:rsidR="00031F31" w:rsidRPr="00003D82" w:rsidRDefault="00031F31" w:rsidP="00031F31">
            <w:pPr>
              <w:jc w:val="both"/>
              <w:rPr>
                <w:rFonts w:ascii="Garamond" w:eastAsia="Times New Roman" w:hAnsi="Garamond" w:cs="Times New Roman"/>
                <w:lang w:eastAsia="it-IT"/>
              </w:rPr>
            </w:pPr>
            <w:r w:rsidRPr="00003D82">
              <w:rPr>
                <w:rFonts w:ascii="Garamond" w:eastAsia="Times New Roman" w:hAnsi="Garamond" w:cs="Times New Roman"/>
                <w:lang w:eastAsia="it-IT"/>
              </w:rPr>
              <w:t>Nel caso sia stato applicato il criterio del miglior rapporto qualità/prezzo, la valutazione dell'offerta economica ha tenuto conto</w:t>
            </w:r>
          </w:p>
          <w:p w14:paraId="5A59E209" w14:textId="77777777" w:rsidR="00031F31" w:rsidRPr="00003D82" w:rsidRDefault="00031F31" w:rsidP="00031F31">
            <w:pPr>
              <w:pStyle w:val="ListParagraph"/>
              <w:numPr>
                <w:ilvl w:val="0"/>
                <w:numId w:val="25"/>
              </w:numPr>
              <w:jc w:val="both"/>
              <w:rPr>
                <w:rFonts w:ascii="Garamond" w:eastAsia="Times New Roman" w:hAnsi="Garamond" w:cs="Times New Roman"/>
                <w:lang w:eastAsia="it-IT"/>
              </w:rPr>
            </w:pPr>
            <w:r w:rsidRPr="00003D82">
              <w:rPr>
                <w:rFonts w:ascii="Garamond" w:eastAsia="Times New Roman" w:hAnsi="Garamond" w:cs="Times New Roman"/>
                <w:lang w:eastAsia="it-IT"/>
              </w:rPr>
              <w:t>che le offerte</w:t>
            </w:r>
            <w:r>
              <w:rPr>
                <w:rFonts w:ascii="Garamond" w:eastAsia="Times New Roman" w:hAnsi="Garamond" w:cs="Times New Roman"/>
                <w:lang w:eastAsia="it-IT"/>
              </w:rPr>
              <w:t>:</w:t>
            </w:r>
          </w:p>
          <w:p w14:paraId="45415414" w14:textId="77777777" w:rsidR="00031F31" w:rsidRPr="00003D82" w:rsidRDefault="00031F31" w:rsidP="00031F31">
            <w:pPr>
              <w:pStyle w:val="ListParagraph"/>
              <w:numPr>
                <w:ilvl w:val="0"/>
                <w:numId w:val="24"/>
              </w:numPr>
              <w:jc w:val="both"/>
              <w:rPr>
                <w:rFonts w:ascii="Garamond" w:eastAsia="Times New Roman" w:hAnsi="Garamond" w:cs="Times New Roman"/>
                <w:lang w:eastAsia="it-IT"/>
              </w:rPr>
            </w:pPr>
            <w:r>
              <w:rPr>
                <w:rFonts w:ascii="Garamond" w:eastAsia="Times New Roman" w:hAnsi="Garamond" w:cs="Times New Roman"/>
                <w:lang w:eastAsia="it-IT"/>
              </w:rPr>
              <w:t>s</w:t>
            </w:r>
            <w:r w:rsidRPr="00003D82">
              <w:rPr>
                <w:rFonts w:ascii="Garamond" w:eastAsia="Times New Roman" w:hAnsi="Garamond" w:cs="Times New Roman"/>
                <w:lang w:eastAsia="it-IT"/>
              </w:rPr>
              <w:t xml:space="preserve">iano inferiori alla base di gara, </w:t>
            </w:r>
          </w:p>
          <w:p w14:paraId="764350D0" w14:textId="77777777" w:rsidR="00031F31" w:rsidRPr="00003D82" w:rsidRDefault="00031F31" w:rsidP="00031F31">
            <w:pPr>
              <w:pStyle w:val="ListParagraph"/>
              <w:numPr>
                <w:ilvl w:val="0"/>
                <w:numId w:val="24"/>
              </w:numPr>
              <w:jc w:val="both"/>
              <w:rPr>
                <w:rFonts w:ascii="Garamond" w:eastAsia="Times New Roman" w:hAnsi="Garamond" w:cs="Times New Roman"/>
                <w:lang w:eastAsia="it-IT"/>
              </w:rPr>
            </w:pPr>
            <w:r w:rsidRPr="00003D82">
              <w:rPr>
                <w:rFonts w:ascii="Garamond" w:eastAsia="Times New Roman" w:hAnsi="Garamond" w:cs="Times New Roman"/>
                <w:lang w:eastAsia="it-IT"/>
              </w:rPr>
              <w:t xml:space="preserve">non condizionate, </w:t>
            </w:r>
          </w:p>
          <w:p w14:paraId="0F803BB1" w14:textId="77777777" w:rsidR="00031F31" w:rsidRPr="00003D82" w:rsidRDefault="00031F31" w:rsidP="00031F31">
            <w:pPr>
              <w:pStyle w:val="ListParagraph"/>
              <w:numPr>
                <w:ilvl w:val="0"/>
                <w:numId w:val="24"/>
              </w:numPr>
              <w:jc w:val="both"/>
              <w:rPr>
                <w:rFonts w:ascii="Garamond" w:eastAsia="Times New Roman" w:hAnsi="Garamond" w:cs="Times New Roman"/>
                <w:lang w:eastAsia="it-IT"/>
              </w:rPr>
            </w:pPr>
            <w:r w:rsidRPr="00003D82">
              <w:rPr>
                <w:rFonts w:ascii="Garamond" w:eastAsia="Times New Roman" w:hAnsi="Garamond" w:cs="Times New Roman"/>
                <w:lang w:eastAsia="it-IT"/>
              </w:rPr>
              <w:t>non parziali?</w:t>
            </w:r>
          </w:p>
          <w:p w14:paraId="3020CDF3" w14:textId="457EC027" w:rsidR="00031F31" w:rsidRPr="00174F93" w:rsidRDefault="00031F31" w:rsidP="00031F31">
            <w:pPr>
              <w:pStyle w:val="ListParagraph"/>
              <w:numPr>
                <w:ilvl w:val="0"/>
                <w:numId w:val="25"/>
              </w:numPr>
              <w:jc w:val="both"/>
              <w:rPr>
                <w:rFonts w:ascii="Garamond" w:eastAsia="Times New Roman" w:hAnsi="Garamond" w:cs="Times New Roman"/>
                <w:color w:val="000000"/>
                <w:lang w:eastAsia="it-IT"/>
              </w:rPr>
            </w:pPr>
            <w:r w:rsidRPr="00174F93">
              <w:rPr>
                <w:rFonts w:ascii="Garamond" w:eastAsia="Times New Roman" w:hAnsi="Garamond" w:cs="Times New Roman"/>
                <w:lang w:eastAsia="it-IT"/>
              </w:rPr>
              <w:t>dei criteri indicati nel disciplinare?</w:t>
            </w:r>
          </w:p>
        </w:tc>
        <w:tc>
          <w:tcPr>
            <w:tcW w:w="133" w:type="pct"/>
            <w:shd w:val="clear" w:color="auto" w:fill="auto"/>
            <w:vAlign w:val="center"/>
          </w:tcPr>
          <w:p w14:paraId="7589A583"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C9F824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E56E3F2"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6738D2F"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p>
        </w:tc>
        <w:tc>
          <w:tcPr>
            <w:tcW w:w="662" w:type="pct"/>
            <w:vAlign w:val="center"/>
          </w:tcPr>
          <w:p w14:paraId="22F656F7"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49FC2ED9" w14:textId="4CF6610F"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E2C0A02" w14:textId="77777777" w:rsidR="00031F31" w:rsidRDefault="00031F31" w:rsidP="00031F31">
            <w:pPr>
              <w:spacing w:after="0" w:line="240" w:lineRule="auto"/>
              <w:jc w:val="both"/>
              <w:rPr>
                <w:rFonts w:ascii="Garamond" w:eastAsia="Times New Roman" w:hAnsi="Garamond" w:cs="Times New Roman"/>
                <w:color w:val="000000"/>
                <w:lang w:eastAsia="it-IT"/>
              </w:rPr>
            </w:pPr>
            <w:r w:rsidRPr="00122C8F">
              <w:rPr>
                <w:rFonts w:ascii="Garamond" w:eastAsia="Times New Roman" w:hAnsi="Garamond" w:cs="Times New Roman"/>
                <w:color w:val="000000"/>
                <w:lang w:eastAsia="it-IT"/>
              </w:rPr>
              <w:t>• Verbali RUP/Seggio di Gara/ commissione</w:t>
            </w:r>
          </w:p>
          <w:p w14:paraId="6A9E0E86" w14:textId="1A88BEC1" w:rsidR="00031F31" w:rsidRPr="00622822" w:rsidRDefault="00031F31" w:rsidP="00031F31">
            <w:pPr>
              <w:spacing w:after="0" w:line="240" w:lineRule="auto"/>
              <w:jc w:val="both"/>
              <w:rPr>
                <w:rFonts w:ascii="Garamond" w:eastAsia="Times New Roman" w:hAnsi="Garamond" w:cs="Times New Roman"/>
                <w:color w:val="000000"/>
                <w:lang w:eastAsia="it-IT"/>
              </w:rPr>
            </w:pPr>
            <w:r w:rsidRPr="00122C8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 </w:t>
            </w:r>
          </w:p>
        </w:tc>
      </w:tr>
      <w:tr w:rsidR="00031F31" w:rsidRPr="00023F3C" w14:paraId="66460859" w14:textId="77777777" w:rsidTr="00B277D2">
        <w:trPr>
          <w:trHeight w:val="1417"/>
        </w:trPr>
        <w:tc>
          <w:tcPr>
            <w:tcW w:w="354" w:type="pct"/>
            <w:shd w:val="clear" w:color="auto" w:fill="auto"/>
            <w:vAlign w:val="center"/>
          </w:tcPr>
          <w:p w14:paraId="36FBD8E3" w14:textId="1FE03A69"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371" w:type="pct"/>
            <w:shd w:val="clear" w:color="auto" w:fill="auto"/>
            <w:vAlign w:val="center"/>
          </w:tcPr>
          <w:p w14:paraId="31AF66DD" w14:textId="24670D6C" w:rsidR="00031F31" w:rsidRPr="00CC6BE6" w:rsidRDefault="00031F31" w:rsidP="00031F31">
            <w:pPr>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appalti ad alta intensità di manodopera, </w:t>
            </w:r>
            <w:r w:rsidRPr="00CC6BE6">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Stazione Appaltante</w:t>
            </w:r>
            <w:r w:rsidRPr="00CC6BE6">
              <w:rPr>
                <w:rFonts w:ascii="Garamond" w:eastAsia="Times New Roman" w:hAnsi="Garamond" w:cs="Times New Roman"/>
                <w:color w:val="000000"/>
                <w:lang w:eastAsia="it-IT"/>
              </w:rPr>
              <w:t xml:space="preserve"> ha stabilito un tetto massimo per il punteggio economico entro il limite del 30 per cento </w:t>
            </w:r>
            <w:r>
              <w:rPr>
                <w:rFonts w:ascii="Garamond" w:eastAsia="Times New Roman" w:hAnsi="Garamond" w:cs="Times New Roman"/>
                <w:color w:val="000000"/>
                <w:lang w:eastAsia="it-IT"/>
              </w:rPr>
              <w:t>(art. 108, comma 4, del D. Lgs. 36/2023</w:t>
            </w:r>
            <w:r w:rsidRPr="00CC6BE6">
              <w:rPr>
                <w:rFonts w:ascii="Garamond" w:eastAsia="Times New Roman" w:hAnsi="Garamond" w:cs="Times New Roman"/>
                <w:color w:val="000000"/>
                <w:lang w:eastAsia="it-IT"/>
              </w:rPr>
              <w:t>)?</w:t>
            </w:r>
          </w:p>
        </w:tc>
        <w:tc>
          <w:tcPr>
            <w:tcW w:w="133" w:type="pct"/>
            <w:shd w:val="clear" w:color="auto" w:fill="auto"/>
            <w:vAlign w:val="center"/>
          </w:tcPr>
          <w:p w14:paraId="3109F9FD"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6C8203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689F9B7"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63D9961"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6210196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431E50B" w14:textId="2D138CDF"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92CC9CA"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031F31" w:rsidRPr="00023F3C" w14:paraId="5248B3E6" w14:textId="77777777" w:rsidTr="00B277D2">
        <w:trPr>
          <w:trHeight w:val="497"/>
        </w:trPr>
        <w:tc>
          <w:tcPr>
            <w:tcW w:w="354" w:type="pct"/>
            <w:shd w:val="clear" w:color="auto" w:fill="auto"/>
            <w:vAlign w:val="center"/>
          </w:tcPr>
          <w:p w14:paraId="31513B22" w14:textId="7912595B" w:rsidR="00031F31" w:rsidRPr="002B65CE" w:rsidRDefault="00031F31" w:rsidP="00031F31">
            <w:pPr>
              <w:spacing w:after="0" w:line="240" w:lineRule="auto"/>
              <w:jc w:val="center"/>
              <w:rPr>
                <w:rFonts w:ascii="Garamond" w:eastAsia="Times New Roman" w:hAnsi="Garamond" w:cs="Times New Roman"/>
                <w:lang w:eastAsia="it-IT"/>
              </w:rPr>
            </w:pPr>
            <w:r w:rsidRPr="002B65CE">
              <w:rPr>
                <w:rFonts w:ascii="Garamond" w:eastAsia="Times New Roman" w:hAnsi="Garamond" w:cs="Times New Roman"/>
                <w:lang w:eastAsia="it-IT"/>
              </w:rPr>
              <w:t>8</w:t>
            </w:r>
          </w:p>
        </w:tc>
        <w:tc>
          <w:tcPr>
            <w:tcW w:w="1371" w:type="pct"/>
            <w:shd w:val="clear" w:color="auto" w:fill="auto"/>
            <w:vAlign w:val="center"/>
          </w:tcPr>
          <w:p w14:paraId="145667F0" w14:textId="02DCE3F6" w:rsidR="00031F31" w:rsidRPr="002B65CE" w:rsidRDefault="00031F31" w:rsidP="00031F31">
            <w:pPr>
              <w:spacing w:after="0" w:line="240" w:lineRule="auto"/>
              <w:jc w:val="both"/>
              <w:rPr>
                <w:rFonts w:ascii="Garamond" w:eastAsia="Times New Roman" w:hAnsi="Garamond" w:cs="Times New Roman"/>
                <w:lang w:eastAsia="it-IT"/>
              </w:rPr>
            </w:pPr>
            <w:r w:rsidRPr="002B65CE">
              <w:rPr>
                <w:rFonts w:ascii="Garamond" w:eastAsia="Times New Roman" w:hAnsi="Garamond" w:cs="Times New Roman"/>
                <w:lang w:eastAsia="it-IT"/>
              </w:rPr>
              <w:t xml:space="preserve">È stata verificata la congruità delle offerte risultate anormalmente basse in linea con quanto disposto dall’art. 110 del </w:t>
            </w:r>
            <w:r>
              <w:rPr>
                <w:rFonts w:ascii="Garamond" w:eastAsia="Times New Roman" w:hAnsi="Garamond" w:cs="Times New Roman"/>
                <w:lang w:eastAsia="it-IT"/>
              </w:rPr>
              <w:t>D</w:t>
            </w:r>
            <w:r w:rsidRPr="002B65CE">
              <w:rPr>
                <w:rFonts w:ascii="Garamond" w:eastAsia="Times New Roman" w:hAnsi="Garamond" w:cs="Times New Roman"/>
                <w:lang w:eastAsia="it-IT"/>
              </w:rPr>
              <w:t>.</w:t>
            </w:r>
            <w:r>
              <w:rPr>
                <w:rFonts w:ascii="Garamond" w:eastAsia="Times New Roman" w:hAnsi="Garamond" w:cs="Times New Roman"/>
                <w:lang w:eastAsia="it-IT"/>
              </w:rPr>
              <w:t xml:space="preserve"> L</w:t>
            </w:r>
            <w:r w:rsidRPr="002B65CE">
              <w:rPr>
                <w:rFonts w:ascii="Garamond" w:eastAsia="Times New Roman" w:hAnsi="Garamond" w:cs="Times New Roman"/>
                <w:lang w:eastAsia="it-IT"/>
              </w:rPr>
              <w:t>gs. 36/2023 e sono stati comunicati in seduta pubblica gli esiti del procedimento di verifica dell’anomalia di tali offerte?</w:t>
            </w:r>
          </w:p>
        </w:tc>
        <w:tc>
          <w:tcPr>
            <w:tcW w:w="133" w:type="pct"/>
            <w:shd w:val="clear" w:color="auto" w:fill="auto"/>
            <w:vAlign w:val="center"/>
          </w:tcPr>
          <w:p w14:paraId="51DE2656" w14:textId="77777777" w:rsidR="00031F31" w:rsidRPr="002B65CE" w:rsidRDefault="00031F31" w:rsidP="00031F31">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52717FA7" w14:textId="77777777" w:rsidR="00031F31" w:rsidRPr="002B65CE" w:rsidRDefault="00031F31" w:rsidP="00031F31">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673B1A0F" w14:textId="77777777" w:rsidR="00031F31" w:rsidRPr="002B65CE" w:rsidRDefault="00031F31" w:rsidP="00031F31">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61639CF8" w14:textId="77777777" w:rsidR="00031F31" w:rsidRPr="002B65CE" w:rsidRDefault="00031F31" w:rsidP="00031F31">
            <w:pPr>
              <w:spacing w:after="0" w:line="240" w:lineRule="auto"/>
              <w:jc w:val="both"/>
              <w:rPr>
                <w:rFonts w:ascii="Garamond" w:eastAsia="Times New Roman" w:hAnsi="Garamond" w:cs="Times New Roman"/>
                <w:lang w:eastAsia="it-IT"/>
              </w:rPr>
            </w:pPr>
          </w:p>
        </w:tc>
        <w:tc>
          <w:tcPr>
            <w:tcW w:w="662" w:type="pct"/>
          </w:tcPr>
          <w:p w14:paraId="14C38D26" w14:textId="77777777" w:rsidR="00031F31" w:rsidRPr="002B65CE" w:rsidRDefault="00031F31" w:rsidP="00031F31">
            <w:pPr>
              <w:spacing w:after="0" w:line="240" w:lineRule="auto"/>
              <w:jc w:val="both"/>
              <w:rPr>
                <w:rFonts w:ascii="Garamond" w:eastAsia="Times New Roman" w:hAnsi="Garamond" w:cs="Times New Roman"/>
                <w:b/>
                <w:bCs/>
                <w:lang w:eastAsia="it-IT"/>
              </w:rPr>
            </w:pPr>
          </w:p>
        </w:tc>
        <w:tc>
          <w:tcPr>
            <w:tcW w:w="399" w:type="pct"/>
            <w:shd w:val="clear" w:color="auto" w:fill="auto"/>
            <w:vAlign w:val="center"/>
          </w:tcPr>
          <w:p w14:paraId="4589C909" w14:textId="5F532BC8" w:rsidR="00031F31" w:rsidRPr="002B65CE" w:rsidRDefault="00031F31" w:rsidP="00031F31">
            <w:pPr>
              <w:spacing w:after="0" w:line="240" w:lineRule="auto"/>
              <w:jc w:val="both"/>
              <w:rPr>
                <w:rFonts w:ascii="Garamond" w:eastAsia="Times New Roman" w:hAnsi="Garamond" w:cs="Times New Roman"/>
                <w:b/>
                <w:bCs/>
                <w:lang w:eastAsia="it-IT"/>
              </w:rPr>
            </w:pPr>
          </w:p>
        </w:tc>
        <w:tc>
          <w:tcPr>
            <w:tcW w:w="1151" w:type="pct"/>
            <w:vAlign w:val="center"/>
          </w:tcPr>
          <w:p w14:paraId="51F22A2C" w14:textId="469C7E26" w:rsidR="00031F31" w:rsidRPr="002B65CE" w:rsidRDefault="00031F31" w:rsidP="00031F31">
            <w:pPr>
              <w:spacing w:after="0" w:line="240" w:lineRule="auto"/>
              <w:jc w:val="both"/>
              <w:rPr>
                <w:rFonts w:ascii="Garamond" w:eastAsia="Times New Roman" w:hAnsi="Garamond" w:cs="Times New Roman"/>
                <w:lang w:eastAsia="it-IT"/>
              </w:rPr>
            </w:pPr>
            <w:r w:rsidRPr="002B65CE">
              <w:rPr>
                <w:rFonts w:ascii="Garamond" w:eastAsia="Times New Roman" w:hAnsi="Garamond" w:cs="Times New Roman"/>
                <w:lang w:eastAsia="it-IT"/>
              </w:rPr>
              <w:t>• Verbali RUP/Seggio di Gara/ commissione</w:t>
            </w:r>
            <w:r w:rsidRPr="002B65CE" w:rsidDel="00D65460">
              <w:rPr>
                <w:rFonts w:ascii="Garamond" w:eastAsia="Times New Roman" w:hAnsi="Garamond" w:cs="Times New Roman"/>
                <w:lang w:eastAsia="it-IT"/>
              </w:rPr>
              <w:t xml:space="preserve"> </w:t>
            </w:r>
          </w:p>
        </w:tc>
      </w:tr>
      <w:tr w:rsidR="00031F31" w:rsidRPr="00023F3C" w14:paraId="470832A6" w14:textId="77777777" w:rsidTr="00D96277">
        <w:trPr>
          <w:trHeight w:val="1030"/>
        </w:trPr>
        <w:tc>
          <w:tcPr>
            <w:tcW w:w="354" w:type="pct"/>
            <w:shd w:val="clear" w:color="auto" w:fill="auto"/>
            <w:vAlign w:val="center"/>
          </w:tcPr>
          <w:p w14:paraId="6522B678" w14:textId="41866903" w:rsidR="00031F31" w:rsidRPr="006B445F" w:rsidRDefault="00031F31" w:rsidP="00031F31">
            <w:pPr>
              <w:spacing w:after="0" w:line="240" w:lineRule="auto"/>
              <w:jc w:val="center"/>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lastRenderedPageBreak/>
              <w:t>9</w:t>
            </w:r>
          </w:p>
        </w:tc>
        <w:tc>
          <w:tcPr>
            <w:tcW w:w="1371" w:type="pct"/>
            <w:shd w:val="clear" w:color="auto" w:fill="auto"/>
            <w:vAlign w:val="center"/>
          </w:tcPr>
          <w:p w14:paraId="7FBEF527" w14:textId="202967F0" w:rsidR="00031F31" w:rsidRPr="006B445F" w:rsidRDefault="00031F31" w:rsidP="00031F31">
            <w:pPr>
              <w:spacing w:after="0" w:line="240" w:lineRule="auto"/>
              <w:jc w:val="both"/>
              <w:rPr>
                <w:rFonts w:ascii="Garamond" w:eastAsia="Times New Roman" w:hAnsi="Garamond" w:cs="Times New Roman"/>
                <w:color w:val="000000"/>
                <w:lang w:eastAsia="it-IT"/>
              </w:rPr>
            </w:pPr>
            <w:r w:rsidRPr="006B445F">
              <w:rPr>
                <w:rFonts w:ascii="Garamond" w:eastAsia="Times New Roman" w:hAnsi="Garamond" w:cs="Times New Roman"/>
                <w:color w:val="000000"/>
                <w:lang w:eastAsia="it-IT"/>
              </w:rPr>
              <w:t xml:space="preserve">Nel caso sia stato applicato il criterio del prezzo più basso, ove l’appalto non presenti interesse transfrontaliero certo, la </w:t>
            </w:r>
            <w:r>
              <w:rPr>
                <w:rFonts w:ascii="Garamond" w:eastAsia="Times New Roman" w:hAnsi="Garamond" w:cs="Times New Roman"/>
                <w:color w:val="000000"/>
                <w:lang w:eastAsia="it-IT"/>
              </w:rPr>
              <w:t>Stazione Appaltante</w:t>
            </w:r>
            <w:r w:rsidRPr="006B445F">
              <w:rPr>
                <w:rFonts w:ascii="Garamond" w:eastAsia="Times New Roman" w:hAnsi="Garamond" w:cs="Times New Roman"/>
                <w:color w:val="000000"/>
                <w:lang w:eastAsia="it-IT"/>
              </w:rPr>
              <w:t xml:space="preserve"> ha proceduto all'esclusione automatica dalla gara delle offerte che risultano anomale, qualora il numero delle offerte ammesse sia pari o superiore a cinque? (</w:t>
            </w:r>
            <w:r w:rsidRPr="00B84D2B">
              <w:rPr>
                <w:rFonts w:ascii="Garamond" w:eastAsia="Times New Roman" w:hAnsi="Garamond" w:cs="Times New Roman"/>
                <w:color w:val="000000"/>
                <w:lang w:eastAsia="it-IT"/>
              </w:rPr>
              <w:t xml:space="preserve">art. 54, comma 1, </w:t>
            </w:r>
            <w:r>
              <w:rPr>
                <w:rFonts w:ascii="Garamond" w:eastAsia="Times New Roman" w:hAnsi="Garamond" w:cs="Times New Roman"/>
                <w:color w:val="000000"/>
                <w:lang w:eastAsia="it-IT"/>
              </w:rPr>
              <w:t>del D</w:t>
            </w:r>
            <w:r w:rsidRPr="00B84D2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B84D2B">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36/2023</w:t>
            </w:r>
            <w:r w:rsidRPr="006B445F">
              <w:rPr>
                <w:rFonts w:ascii="Garamond" w:eastAsia="Times New Roman" w:hAnsi="Garamond" w:cs="Times New Roman"/>
                <w:color w:val="000000"/>
                <w:lang w:eastAsia="it-IT"/>
              </w:rPr>
              <w:t xml:space="preserve">) </w:t>
            </w:r>
          </w:p>
        </w:tc>
        <w:tc>
          <w:tcPr>
            <w:tcW w:w="133" w:type="pct"/>
            <w:shd w:val="clear" w:color="auto" w:fill="auto"/>
            <w:vAlign w:val="center"/>
          </w:tcPr>
          <w:p w14:paraId="5BCFD805" w14:textId="77777777" w:rsidR="00031F31" w:rsidRPr="00614C21"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F9F2596" w14:textId="77777777" w:rsidR="00031F31" w:rsidRPr="00614C21"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771C94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34478B2"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p>
        </w:tc>
        <w:tc>
          <w:tcPr>
            <w:tcW w:w="662" w:type="pct"/>
            <w:shd w:val="clear" w:color="auto" w:fill="auto"/>
          </w:tcPr>
          <w:p w14:paraId="1BC47F8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04D729D2" w14:textId="2F5645E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shd w:val="clear" w:color="auto" w:fill="auto"/>
            <w:vAlign w:val="center"/>
          </w:tcPr>
          <w:p w14:paraId="6234756C" w14:textId="77777777" w:rsidR="00031F31"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p w14:paraId="4D6C1902" w14:textId="2886158F" w:rsidR="00031F31" w:rsidRPr="00622822"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decisione di contrarre</w:t>
            </w:r>
          </w:p>
        </w:tc>
      </w:tr>
      <w:tr w:rsidR="00031F31" w:rsidRPr="00023F3C" w14:paraId="59E56754" w14:textId="77777777" w:rsidTr="00D96277">
        <w:trPr>
          <w:trHeight w:val="639"/>
        </w:trPr>
        <w:tc>
          <w:tcPr>
            <w:tcW w:w="354" w:type="pct"/>
            <w:shd w:val="clear" w:color="auto" w:fill="auto"/>
            <w:vAlign w:val="center"/>
          </w:tcPr>
          <w:p w14:paraId="445FB5A5" w14:textId="1549E2D4"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371" w:type="pct"/>
            <w:shd w:val="clear" w:color="auto" w:fill="auto"/>
            <w:vAlign w:val="center"/>
          </w:tcPr>
          <w:p w14:paraId="26C846FF" w14:textId="641AB8B3" w:rsidR="00031F31" w:rsidRPr="00614C21" w:rsidRDefault="00031F31" w:rsidP="00031F31">
            <w:p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Nel caso di cui sopra</w:t>
            </w:r>
            <w:r w:rsidRPr="00DF5DF1">
              <w:rPr>
                <w:rFonts w:ascii="Garamond" w:eastAsia="Times New Roman" w:hAnsi="Garamond" w:cs="Times New Roman"/>
                <w:color w:val="000000"/>
                <w:lang w:eastAsia="it-IT"/>
              </w:rPr>
              <w:t xml:space="preserve">, la </w:t>
            </w:r>
            <w:r>
              <w:rPr>
                <w:rFonts w:ascii="Garamond" w:eastAsia="Times New Roman" w:hAnsi="Garamond" w:cs="Times New Roman"/>
                <w:color w:val="000000"/>
                <w:lang w:eastAsia="it-IT"/>
              </w:rPr>
              <w:t>Stazione Appaltante ha indicato</w:t>
            </w:r>
            <w:r w:rsidRPr="00DF5DF1">
              <w:rPr>
                <w:rFonts w:ascii="Garamond" w:eastAsia="Times New Roman" w:hAnsi="Garamond" w:cs="Times New Roman"/>
                <w:color w:val="000000"/>
                <w:lang w:eastAsia="it-IT"/>
              </w:rPr>
              <w:t xml:space="preserve"> negli atti di gara il metodo per l’individuazione delle offerte anomale, scelto fra quelli descritti nell’</w:t>
            </w:r>
            <w:r>
              <w:rPr>
                <w:rFonts w:ascii="Garamond" w:eastAsia="Times New Roman" w:hAnsi="Garamond" w:cs="Times New Roman"/>
                <w:color w:val="000000"/>
                <w:lang w:eastAsia="it-IT"/>
              </w:rPr>
              <w:t>A</w:t>
            </w:r>
            <w:r w:rsidRPr="00DF5DF1">
              <w:rPr>
                <w:rFonts w:ascii="Garamond" w:eastAsia="Times New Roman" w:hAnsi="Garamond" w:cs="Times New Roman"/>
                <w:color w:val="000000"/>
                <w:lang w:eastAsia="it-IT"/>
              </w:rPr>
              <w:t>llegato II.2</w:t>
            </w:r>
            <w:r>
              <w:rPr>
                <w:rFonts w:ascii="Garamond" w:eastAsia="Times New Roman" w:hAnsi="Garamond" w:cs="Times New Roman"/>
                <w:color w:val="000000"/>
                <w:lang w:eastAsia="it-IT"/>
              </w:rPr>
              <w:t xml:space="preserve"> al D. Lgs. 36/2023</w:t>
            </w:r>
            <w:r w:rsidRPr="00DF5DF1">
              <w:rPr>
                <w:rFonts w:ascii="Garamond" w:eastAsia="Times New Roman" w:hAnsi="Garamond" w:cs="Times New Roman"/>
                <w:color w:val="000000"/>
                <w:lang w:eastAsia="it-IT"/>
              </w:rPr>
              <w:t xml:space="preserve">, ovvero </w:t>
            </w:r>
            <w:r>
              <w:rPr>
                <w:rFonts w:ascii="Garamond" w:eastAsia="Times New Roman" w:hAnsi="Garamond" w:cs="Times New Roman"/>
                <w:color w:val="000000"/>
                <w:lang w:eastAsia="it-IT"/>
              </w:rPr>
              <w:t>lo ha selezionato</w:t>
            </w:r>
            <w:r w:rsidRPr="00DF5DF1">
              <w:rPr>
                <w:rFonts w:ascii="Garamond" w:eastAsia="Times New Roman" w:hAnsi="Garamond" w:cs="Times New Roman"/>
                <w:color w:val="000000"/>
                <w:lang w:eastAsia="it-IT"/>
              </w:rPr>
              <w:t xml:space="preserve"> in sede di valutazione delle offerte tramite sorteggio tra i metodi compatibili dell’allegato II.2</w:t>
            </w:r>
            <w:r>
              <w:rPr>
                <w:rFonts w:ascii="Garamond" w:eastAsia="Times New Roman" w:hAnsi="Garamond" w:cs="Times New Roman"/>
                <w:color w:val="000000"/>
                <w:lang w:eastAsia="it-IT"/>
              </w:rPr>
              <w:t xml:space="preserve"> (art. 54, comma 2, del d.lgs. 36/2023)? </w:t>
            </w:r>
          </w:p>
        </w:tc>
        <w:tc>
          <w:tcPr>
            <w:tcW w:w="133" w:type="pct"/>
            <w:shd w:val="clear" w:color="auto" w:fill="auto"/>
            <w:vAlign w:val="center"/>
          </w:tcPr>
          <w:p w14:paraId="6C58661F" w14:textId="77777777" w:rsidR="00031F31" w:rsidRPr="00614C21"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652AA07" w14:textId="77777777" w:rsidR="00031F31" w:rsidRPr="00614C21"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C517E4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D6611F4"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p>
        </w:tc>
        <w:tc>
          <w:tcPr>
            <w:tcW w:w="662" w:type="pct"/>
            <w:shd w:val="clear" w:color="auto" w:fill="auto"/>
          </w:tcPr>
          <w:p w14:paraId="58C688B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2FCBA545" w14:textId="2616EE73"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shd w:val="clear" w:color="auto" w:fill="auto"/>
            <w:vAlign w:val="center"/>
          </w:tcPr>
          <w:p w14:paraId="1FAA4A15" w14:textId="696E3A51" w:rsidR="00031F31"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gara</w:t>
            </w:r>
          </w:p>
          <w:p w14:paraId="32900390" w14:textId="75191751" w:rsidR="00031F31" w:rsidRPr="00622822"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Lettera di invito</w:t>
            </w:r>
          </w:p>
        </w:tc>
      </w:tr>
      <w:tr w:rsidR="00031F31" w:rsidRPr="00023F3C" w14:paraId="5FACC71F" w14:textId="77777777" w:rsidTr="00FE3A56">
        <w:trPr>
          <w:trHeight w:val="639"/>
        </w:trPr>
        <w:tc>
          <w:tcPr>
            <w:tcW w:w="354" w:type="pct"/>
            <w:shd w:val="clear" w:color="auto" w:fill="auto"/>
            <w:vAlign w:val="center"/>
          </w:tcPr>
          <w:p w14:paraId="1A8550F5" w14:textId="064F664D"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371" w:type="pct"/>
            <w:shd w:val="clear" w:color="auto" w:fill="auto"/>
            <w:vAlign w:val="center"/>
          </w:tcPr>
          <w:p w14:paraId="077F990E" w14:textId="771488C4" w:rsidR="00031F31" w:rsidRPr="001926AB" w:rsidRDefault="00031F31" w:rsidP="00031F31">
            <w:pPr>
              <w:spacing w:after="0" w:line="240" w:lineRule="auto"/>
              <w:jc w:val="both"/>
              <w:rPr>
                <w:rFonts w:ascii="Garamond" w:eastAsia="Times New Roman" w:hAnsi="Garamond" w:cs="Times New Roman"/>
                <w:strike/>
                <w:color w:val="000000"/>
                <w:lang w:eastAsia="it-IT"/>
              </w:rPr>
            </w:pPr>
            <w:r w:rsidRPr="00FF303B">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Stazione Appaltante</w:t>
            </w:r>
            <w:r w:rsidRPr="00FF303B">
              <w:rPr>
                <w:rFonts w:ascii="Garamond" w:eastAsia="Times New Roman" w:hAnsi="Garamond" w:cs="Times New Roman"/>
                <w:color w:val="000000"/>
                <w:lang w:eastAsia="it-IT"/>
              </w:rPr>
              <w:t xml:space="preserve">, relativamente ai costi della manodopera, prima dell'aggiudicazione, ha proceduto a verificare il rispetto di quanto previsto all’art. </w:t>
            </w:r>
            <w:r w:rsidRPr="00B84D2B">
              <w:rPr>
                <w:rFonts w:ascii="Garamond" w:eastAsia="Times New Roman" w:hAnsi="Garamond" w:cs="Times New Roman"/>
                <w:color w:val="000000"/>
                <w:lang w:eastAsia="it-IT"/>
              </w:rPr>
              <w:t>110, comma 5</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lett. d)</w:t>
            </w:r>
            <w:r>
              <w:rPr>
                <w:rFonts w:ascii="Garamond" w:eastAsia="Times New Roman" w:hAnsi="Garamond" w:cs="Times New Roman"/>
                <w:color w:val="000000"/>
                <w:lang w:eastAsia="it-IT"/>
              </w:rPr>
              <w:t>, del</w:t>
            </w:r>
            <w:r w:rsidRPr="00B84D2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B84D2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B84D2B">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B84D2B">
              <w:rPr>
                <w:rFonts w:ascii="Garamond" w:eastAsia="Times New Roman" w:hAnsi="Garamond" w:cs="Times New Roman"/>
                <w:color w:val="000000"/>
                <w:lang w:eastAsia="it-IT"/>
              </w:rPr>
              <w:t xml:space="preserve"> 36/2023</w:t>
            </w:r>
            <w:r w:rsidRPr="00FF303B">
              <w:rPr>
                <w:rFonts w:ascii="Garamond" w:eastAsia="Times New Roman" w:hAnsi="Garamond" w:cs="Times New Roman"/>
                <w:color w:val="000000"/>
                <w:lang w:eastAsia="it-IT"/>
              </w:rPr>
              <w:t xml:space="preserve"> (cioè che i costi della</w:t>
            </w:r>
            <w:r w:rsidRPr="00CC6BE6">
              <w:rPr>
                <w:rFonts w:ascii="Garamond" w:eastAsia="Times New Roman" w:hAnsi="Garamond" w:cs="Times New Roman"/>
                <w:color w:val="000000"/>
                <w:lang w:eastAsia="it-IT"/>
              </w:rPr>
              <w:t xml:space="preserve"> manodopera non siano inferiori ai minimi salariali</w:t>
            </w:r>
            <w:r>
              <w:rPr>
                <w:rFonts w:ascii="Garamond" w:eastAsia="Times New Roman" w:hAnsi="Garamond" w:cs="Times New Roman"/>
                <w:color w:val="000000"/>
                <w:lang w:eastAsia="it-IT"/>
              </w:rPr>
              <w:t>)</w:t>
            </w:r>
            <w:r w:rsidRPr="00CC6BE6">
              <w:rPr>
                <w:rFonts w:ascii="Garamond" w:eastAsia="Times New Roman" w:hAnsi="Garamond" w:cs="Times New Roman"/>
                <w:color w:val="000000"/>
                <w:lang w:eastAsia="it-IT"/>
              </w:rPr>
              <w:t>?</w:t>
            </w:r>
          </w:p>
        </w:tc>
        <w:tc>
          <w:tcPr>
            <w:tcW w:w="133" w:type="pct"/>
            <w:shd w:val="clear" w:color="auto" w:fill="auto"/>
            <w:vAlign w:val="center"/>
          </w:tcPr>
          <w:p w14:paraId="451F5D97"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F5649D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C5B8AB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EE608AB"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0CD80D4D"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49E74EB4" w14:textId="29BB2DC8"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49C32D47" w14:textId="0F475D3A" w:rsidR="00031F31" w:rsidRPr="00622822"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r w:rsidRPr="00622822">
              <w:rPr>
                <w:rFonts w:ascii="Garamond" w:eastAsia="Times New Roman" w:hAnsi="Garamond" w:cs="Times New Roman"/>
                <w:color w:val="000000"/>
                <w:lang w:eastAsia="it-IT"/>
              </w:rPr>
              <w:t xml:space="preserve"> commissione</w:t>
            </w:r>
          </w:p>
        </w:tc>
      </w:tr>
      <w:tr w:rsidR="00031F31" w:rsidRPr="00023F3C" w14:paraId="0C22A3B1" w14:textId="77777777" w:rsidTr="00B277D2">
        <w:trPr>
          <w:trHeight w:val="1030"/>
        </w:trPr>
        <w:tc>
          <w:tcPr>
            <w:tcW w:w="354" w:type="pct"/>
            <w:shd w:val="clear" w:color="auto" w:fill="auto"/>
            <w:vAlign w:val="center"/>
          </w:tcPr>
          <w:p w14:paraId="60A1AE62" w14:textId="38A50C31"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12</w:t>
            </w:r>
          </w:p>
        </w:tc>
        <w:tc>
          <w:tcPr>
            <w:tcW w:w="1371" w:type="pct"/>
            <w:shd w:val="clear" w:color="auto" w:fill="auto"/>
            <w:vAlign w:val="center"/>
          </w:tcPr>
          <w:p w14:paraId="35ABDB2A" w14:textId="362CA60E" w:rsidR="00031F31" w:rsidRDefault="00031F31" w:rsidP="00031F31">
            <w:pPr>
              <w:spacing w:after="0" w:line="240" w:lineRule="auto"/>
              <w:jc w:val="both"/>
              <w:rPr>
                <w:rFonts w:ascii="Garamond" w:eastAsia="Times New Roman" w:hAnsi="Garamond" w:cs="Times New Roman"/>
                <w:color w:val="000000"/>
                <w:lang w:eastAsia="it-IT"/>
              </w:rPr>
            </w:pPr>
            <w:r w:rsidRPr="00225A7C">
              <w:rPr>
                <w:rFonts w:ascii="Garamond" w:eastAsia="Times New Roman" w:hAnsi="Garamond" w:cs="Times New Roman"/>
                <w:lang w:eastAsia="it-IT"/>
              </w:rPr>
              <w:t xml:space="preserve">In caso di ricorso all’avvalimento, è stato verificato il rispetto di quanto stabilito dall’art. 104 del </w:t>
            </w:r>
            <w:r>
              <w:rPr>
                <w:rFonts w:ascii="Garamond" w:eastAsia="Times New Roman" w:hAnsi="Garamond" w:cs="Times New Roman"/>
                <w:lang w:eastAsia="it-IT"/>
              </w:rPr>
              <w:t>D</w:t>
            </w:r>
            <w:r w:rsidRPr="00225A7C">
              <w:rPr>
                <w:rFonts w:ascii="Garamond" w:eastAsia="Times New Roman" w:hAnsi="Garamond" w:cs="Times New Roman"/>
                <w:lang w:eastAsia="it-IT"/>
              </w:rPr>
              <w:t>.</w:t>
            </w:r>
            <w:r>
              <w:rPr>
                <w:rFonts w:ascii="Garamond" w:eastAsia="Times New Roman" w:hAnsi="Garamond" w:cs="Times New Roman"/>
                <w:lang w:eastAsia="it-IT"/>
              </w:rPr>
              <w:t xml:space="preserve"> L</w:t>
            </w:r>
            <w:r w:rsidRPr="00225A7C">
              <w:rPr>
                <w:rFonts w:ascii="Garamond" w:eastAsia="Times New Roman" w:hAnsi="Garamond" w:cs="Times New Roman"/>
                <w:lang w:eastAsia="it-IT"/>
              </w:rPr>
              <w:t>gs. 36/2023?</w:t>
            </w:r>
          </w:p>
        </w:tc>
        <w:tc>
          <w:tcPr>
            <w:tcW w:w="133" w:type="pct"/>
            <w:shd w:val="clear" w:color="auto" w:fill="auto"/>
            <w:vAlign w:val="center"/>
          </w:tcPr>
          <w:p w14:paraId="1D03B3E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218552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A872BD4"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EA9577B"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3E7CE0AD"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218DE001" w14:textId="14EC0B5E"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02826620" w14:textId="77777777" w:rsidR="00031F31" w:rsidRPr="00E21C4F" w:rsidRDefault="00031F31" w:rsidP="00031F31">
            <w:pPr>
              <w:spacing w:after="0" w:line="240" w:lineRule="auto"/>
              <w:jc w:val="both"/>
              <w:rPr>
                <w:rFonts w:ascii="Garamond" w:eastAsia="Times New Roman" w:hAnsi="Garamond" w:cs="Times New Roman"/>
                <w:color w:val="000000"/>
                <w:lang w:eastAsia="it-IT"/>
              </w:rPr>
            </w:pPr>
            <w:r w:rsidRPr="00E21C4F">
              <w:rPr>
                <w:rFonts w:ascii="Garamond" w:eastAsia="Times New Roman" w:hAnsi="Garamond" w:cs="Times New Roman"/>
                <w:color w:val="000000"/>
                <w:lang w:eastAsia="it-IT"/>
              </w:rPr>
              <w:t>• Verbali RUP/Seggio di Gara</w:t>
            </w:r>
          </w:p>
          <w:p w14:paraId="0F42AE3A" w14:textId="5F948CB9" w:rsidR="00031F31" w:rsidRPr="00622822" w:rsidRDefault="00031F31" w:rsidP="00031F31">
            <w:pPr>
              <w:spacing w:after="0" w:line="240" w:lineRule="auto"/>
              <w:jc w:val="both"/>
              <w:rPr>
                <w:rFonts w:ascii="Garamond" w:eastAsia="Times New Roman" w:hAnsi="Garamond" w:cs="Times New Roman"/>
                <w:color w:val="000000"/>
                <w:lang w:eastAsia="it-IT"/>
              </w:rPr>
            </w:pPr>
            <w:r w:rsidRPr="00226CD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E21C4F">
              <w:rPr>
                <w:rFonts w:ascii="Garamond" w:eastAsia="Times New Roman" w:hAnsi="Garamond" w:cs="Times New Roman"/>
                <w:color w:val="000000"/>
                <w:lang w:eastAsia="it-IT"/>
              </w:rPr>
              <w:t>Documentazione relativa all’avvalimento</w:t>
            </w:r>
          </w:p>
        </w:tc>
      </w:tr>
      <w:tr w:rsidR="00031F31" w:rsidRPr="00023F3C" w14:paraId="2E5837F2" w14:textId="77777777" w:rsidTr="00B277D2">
        <w:trPr>
          <w:trHeight w:val="988"/>
        </w:trPr>
        <w:tc>
          <w:tcPr>
            <w:tcW w:w="354" w:type="pct"/>
            <w:shd w:val="clear" w:color="auto" w:fill="auto"/>
            <w:vAlign w:val="center"/>
          </w:tcPr>
          <w:p w14:paraId="27EE6EC1" w14:textId="2ED184F3" w:rsidR="00031F31" w:rsidRPr="00023F3C"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13</w:t>
            </w:r>
          </w:p>
        </w:tc>
        <w:tc>
          <w:tcPr>
            <w:tcW w:w="1371" w:type="pct"/>
            <w:shd w:val="clear" w:color="auto" w:fill="auto"/>
            <w:vAlign w:val="center"/>
          </w:tcPr>
          <w:p w14:paraId="011BB776" w14:textId="2585C4B0" w:rsidR="00031F31" w:rsidRPr="00023F3C" w:rsidRDefault="00031F31" w:rsidP="00031F31">
            <w:pPr>
              <w:spacing w:after="0" w:line="240" w:lineRule="auto"/>
              <w:jc w:val="both"/>
              <w:rPr>
                <w:rFonts w:ascii="Garamond" w:hAnsi="Garamond"/>
              </w:rPr>
            </w:pPr>
            <w:r w:rsidRPr="00023F3C">
              <w:rPr>
                <w:rFonts w:ascii="Garamond" w:hAnsi="Garamond"/>
              </w:rPr>
              <w:t xml:space="preserve">É stata formulata la proposta di aggiudicazione ai sensi </w:t>
            </w:r>
            <w:r>
              <w:rPr>
                <w:rFonts w:ascii="Garamond" w:hAnsi="Garamond"/>
              </w:rPr>
              <w:t>dell’art. 17, comma 5, del d.lgs. 36/2023?</w:t>
            </w:r>
          </w:p>
        </w:tc>
        <w:tc>
          <w:tcPr>
            <w:tcW w:w="133" w:type="pct"/>
            <w:shd w:val="clear" w:color="auto" w:fill="auto"/>
            <w:vAlign w:val="center"/>
          </w:tcPr>
          <w:p w14:paraId="1F59D913"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4E97203"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AC7C6B4"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D1EAEDE"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0C9A86C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1D2785CB" w14:textId="09EAB7D1"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0447C10" w14:textId="77777777" w:rsidR="00031F31" w:rsidRPr="00023F3C"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Proposta di aggiudicazione</w:t>
            </w:r>
          </w:p>
        </w:tc>
      </w:tr>
      <w:tr w:rsidR="00031F31" w:rsidRPr="00023F3C" w14:paraId="11C45C30" w14:textId="77777777" w:rsidTr="00B277D2">
        <w:trPr>
          <w:trHeight w:val="975"/>
        </w:trPr>
        <w:tc>
          <w:tcPr>
            <w:tcW w:w="354" w:type="pct"/>
            <w:shd w:val="clear" w:color="auto" w:fill="auto"/>
            <w:vAlign w:val="center"/>
          </w:tcPr>
          <w:p w14:paraId="0967195B" w14:textId="0F0456CA" w:rsidR="00031F31" w:rsidRPr="00023F3C"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371" w:type="pct"/>
            <w:shd w:val="clear" w:color="auto" w:fill="auto"/>
            <w:vAlign w:val="center"/>
          </w:tcPr>
          <w:p w14:paraId="534474C0" w14:textId="77777777" w:rsidR="00031F31" w:rsidRPr="00023F3C" w:rsidRDefault="00031F31" w:rsidP="00031F31">
            <w:pPr>
              <w:spacing w:after="0" w:line="240" w:lineRule="auto"/>
              <w:jc w:val="both"/>
              <w:rPr>
                <w:rFonts w:ascii="Garamond" w:eastAsia="Times New Roman" w:hAnsi="Garamond" w:cs="Times New Roman"/>
                <w:color w:val="000000"/>
                <w:lang w:eastAsia="it-IT"/>
              </w:rPr>
            </w:pPr>
            <w:r w:rsidRPr="00023F3C">
              <w:rPr>
                <w:rFonts w:ascii="Garamond" w:hAnsi="Garamond"/>
              </w:rPr>
              <w:t>L’aggiudicazione è avvenuta sulla base dei criteri indicati nella documentazione di gara</w:t>
            </w:r>
            <w:r>
              <w:rPr>
                <w:rFonts w:ascii="Garamond" w:hAnsi="Garamond"/>
              </w:rPr>
              <w:t xml:space="preserve">? </w:t>
            </w:r>
            <w:r w:rsidRPr="00023F3C">
              <w:rPr>
                <w:rFonts w:ascii="Garamond" w:hAnsi="Garamond"/>
              </w:rPr>
              <w:t xml:space="preserve"> </w:t>
            </w:r>
          </w:p>
        </w:tc>
        <w:tc>
          <w:tcPr>
            <w:tcW w:w="133" w:type="pct"/>
            <w:shd w:val="clear" w:color="auto" w:fill="auto"/>
            <w:vAlign w:val="center"/>
          </w:tcPr>
          <w:p w14:paraId="043FC88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DFD00F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E1BE638"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F5BB2EE" w14:textId="77777777" w:rsidR="00031F31" w:rsidRPr="00622822"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2FE81627"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BEC4454" w14:textId="0ABDD6DA"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2062BA0" w14:textId="77777777" w:rsidR="00031F31" w:rsidRPr="00023F3C" w:rsidRDefault="00031F31" w:rsidP="00031F31">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Decreto di aggiudicazione</w:t>
            </w:r>
          </w:p>
        </w:tc>
      </w:tr>
      <w:tr w:rsidR="00031F31" w:rsidRPr="00023F3C" w14:paraId="6F946C62" w14:textId="77777777" w:rsidTr="00B277D2">
        <w:trPr>
          <w:trHeight w:val="975"/>
        </w:trPr>
        <w:tc>
          <w:tcPr>
            <w:tcW w:w="354" w:type="pct"/>
            <w:shd w:val="clear" w:color="auto" w:fill="auto"/>
            <w:vAlign w:val="center"/>
          </w:tcPr>
          <w:p w14:paraId="1F6A2B97" w14:textId="5B67509B"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371" w:type="pct"/>
            <w:shd w:val="clear" w:color="auto" w:fill="auto"/>
            <w:vAlign w:val="center"/>
          </w:tcPr>
          <w:p w14:paraId="4717095C" w14:textId="258C3ADA" w:rsidR="00031F31" w:rsidRDefault="00031F31" w:rsidP="00031F31">
            <w:pPr>
              <w:spacing w:after="0" w:line="240" w:lineRule="auto"/>
              <w:rPr>
                <w:rFonts w:ascii="Garamond" w:hAnsi="Garamond"/>
              </w:rPr>
            </w:pPr>
            <w:r>
              <w:rPr>
                <w:rFonts w:ascii="Garamond" w:hAnsi="Garamond"/>
              </w:rPr>
              <w:t xml:space="preserve">L’aggiudicazione è avvenuta dopo la verifica dei requisiti generali e speciali ove richiesti, </w:t>
            </w:r>
            <w:r w:rsidRPr="00003D82">
              <w:rPr>
                <w:rFonts w:ascii="Garamond" w:hAnsi="Garamond"/>
              </w:rPr>
              <w:t>mediante il Fascicolo Virtuale dell’Operatore Economico (“FVOE”)?</w:t>
            </w:r>
          </w:p>
        </w:tc>
        <w:tc>
          <w:tcPr>
            <w:tcW w:w="133" w:type="pct"/>
            <w:shd w:val="clear" w:color="auto" w:fill="auto"/>
            <w:vAlign w:val="center"/>
          </w:tcPr>
          <w:p w14:paraId="59CEEF87" w14:textId="77777777" w:rsidR="00031F31" w:rsidRPr="00023F3C" w:rsidRDefault="00031F31" w:rsidP="00031F31">
            <w:pPr>
              <w:spacing w:after="0" w:line="240" w:lineRule="auto"/>
              <w:rPr>
                <w:rFonts w:ascii="Garamond" w:eastAsia="Times New Roman" w:hAnsi="Garamond" w:cs="Times New Roman"/>
                <w:b/>
                <w:bCs/>
                <w:color w:val="000000"/>
                <w:lang w:eastAsia="it-IT"/>
              </w:rPr>
            </w:pPr>
          </w:p>
        </w:tc>
        <w:tc>
          <w:tcPr>
            <w:tcW w:w="177" w:type="pct"/>
            <w:shd w:val="clear" w:color="auto" w:fill="auto"/>
            <w:vAlign w:val="center"/>
          </w:tcPr>
          <w:p w14:paraId="72C7F777" w14:textId="77777777" w:rsidR="00031F31" w:rsidRPr="00023F3C" w:rsidRDefault="00031F31" w:rsidP="00031F31">
            <w:pPr>
              <w:spacing w:after="0" w:line="240" w:lineRule="auto"/>
              <w:rPr>
                <w:rFonts w:ascii="Garamond" w:eastAsia="Times New Roman" w:hAnsi="Garamond" w:cs="Times New Roman"/>
                <w:b/>
                <w:bCs/>
                <w:color w:val="000000"/>
                <w:lang w:eastAsia="it-IT"/>
              </w:rPr>
            </w:pPr>
          </w:p>
        </w:tc>
        <w:tc>
          <w:tcPr>
            <w:tcW w:w="222" w:type="pct"/>
            <w:shd w:val="clear" w:color="auto" w:fill="auto"/>
            <w:vAlign w:val="center"/>
          </w:tcPr>
          <w:p w14:paraId="7C6D7FDF" w14:textId="77777777" w:rsidR="00031F31" w:rsidRPr="00023F3C" w:rsidRDefault="00031F31" w:rsidP="00031F31">
            <w:pPr>
              <w:spacing w:after="0" w:line="240" w:lineRule="auto"/>
              <w:rPr>
                <w:rFonts w:ascii="Garamond" w:eastAsia="Times New Roman" w:hAnsi="Garamond" w:cs="Times New Roman"/>
                <w:b/>
                <w:bCs/>
                <w:color w:val="000000"/>
                <w:lang w:eastAsia="it-IT"/>
              </w:rPr>
            </w:pPr>
          </w:p>
        </w:tc>
        <w:tc>
          <w:tcPr>
            <w:tcW w:w="531" w:type="pct"/>
            <w:shd w:val="clear" w:color="auto" w:fill="auto"/>
            <w:vAlign w:val="center"/>
          </w:tcPr>
          <w:p w14:paraId="0FCF80BB" w14:textId="77777777" w:rsidR="00031F31" w:rsidRPr="00622822" w:rsidRDefault="00031F31" w:rsidP="00031F31">
            <w:pPr>
              <w:spacing w:after="0" w:line="240" w:lineRule="auto"/>
              <w:rPr>
                <w:rFonts w:ascii="Garamond" w:eastAsia="Times New Roman" w:hAnsi="Garamond" w:cs="Times New Roman"/>
                <w:color w:val="000000"/>
                <w:lang w:eastAsia="it-IT"/>
              </w:rPr>
            </w:pPr>
          </w:p>
        </w:tc>
        <w:tc>
          <w:tcPr>
            <w:tcW w:w="662" w:type="pct"/>
          </w:tcPr>
          <w:p w14:paraId="268A3D02" w14:textId="77777777" w:rsidR="00031F31" w:rsidRPr="00023F3C" w:rsidRDefault="00031F31" w:rsidP="00031F31">
            <w:pPr>
              <w:spacing w:after="0" w:line="240" w:lineRule="auto"/>
              <w:rPr>
                <w:rFonts w:ascii="Garamond" w:eastAsia="Times New Roman" w:hAnsi="Garamond" w:cs="Times New Roman"/>
                <w:b/>
                <w:bCs/>
                <w:color w:val="000000"/>
                <w:lang w:eastAsia="it-IT"/>
              </w:rPr>
            </w:pPr>
          </w:p>
        </w:tc>
        <w:tc>
          <w:tcPr>
            <w:tcW w:w="399" w:type="pct"/>
            <w:shd w:val="clear" w:color="auto" w:fill="auto"/>
            <w:vAlign w:val="center"/>
          </w:tcPr>
          <w:p w14:paraId="20533C9C" w14:textId="77777777" w:rsidR="00031F31" w:rsidRPr="00023F3C" w:rsidRDefault="00031F31" w:rsidP="00031F31">
            <w:pPr>
              <w:spacing w:after="0" w:line="240" w:lineRule="auto"/>
              <w:rPr>
                <w:rFonts w:ascii="Garamond" w:eastAsia="Times New Roman" w:hAnsi="Garamond" w:cs="Times New Roman"/>
                <w:b/>
                <w:bCs/>
                <w:color w:val="000000"/>
                <w:lang w:eastAsia="it-IT"/>
              </w:rPr>
            </w:pPr>
          </w:p>
        </w:tc>
        <w:tc>
          <w:tcPr>
            <w:tcW w:w="1151" w:type="pct"/>
            <w:vAlign w:val="center"/>
          </w:tcPr>
          <w:p w14:paraId="0FBA904B" w14:textId="77777777" w:rsidR="00031F31" w:rsidRDefault="00031F31" w:rsidP="00031F31">
            <w:pPr>
              <w:spacing w:after="0" w:line="240" w:lineRule="auto"/>
              <w:jc w:val="both"/>
              <w:rPr>
                <w:rFonts w:ascii="Garamond" w:eastAsia="Times New Roman" w:hAnsi="Garamond" w:cs="Times New Roman"/>
                <w:lang w:eastAsia="it-IT"/>
              </w:rPr>
            </w:pPr>
            <w:r w:rsidRPr="00AE3C7A">
              <w:rPr>
                <w:rFonts w:ascii="Garamond" w:eastAsia="Times New Roman" w:hAnsi="Garamond" w:cs="Times New Roman"/>
                <w:lang w:eastAsia="it-IT"/>
              </w:rPr>
              <w:t>•</w:t>
            </w:r>
            <w:r>
              <w:rPr>
                <w:rFonts w:ascii="Garamond" w:eastAsia="Times New Roman" w:hAnsi="Garamond" w:cs="Times New Roman"/>
                <w:lang w:eastAsia="it-IT"/>
              </w:rPr>
              <w:t xml:space="preserve"> Verbali di gara</w:t>
            </w:r>
          </w:p>
          <w:p w14:paraId="34490011" w14:textId="033E5196" w:rsidR="00031F31" w:rsidRPr="00622822" w:rsidRDefault="00031F31" w:rsidP="00031F31">
            <w:pPr>
              <w:spacing w:after="0" w:line="240" w:lineRule="auto"/>
              <w:rPr>
                <w:rFonts w:ascii="Garamond" w:eastAsia="Times New Roman" w:hAnsi="Garamond" w:cs="Times New Roman"/>
                <w:color w:val="000000"/>
                <w:lang w:eastAsia="it-IT"/>
              </w:rPr>
            </w:pPr>
            <w:r w:rsidRPr="00AE3C7A">
              <w:rPr>
                <w:rFonts w:ascii="Garamond" w:eastAsia="Times New Roman" w:hAnsi="Garamond" w:cs="Times New Roman"/>
                <w:lang w:eastAsia="it-IT"/>
              </w:rPr>
              <w:t>•</w:t>
            </w:r>
            <w:r>
              <w:rPr>
                <w:rFonts w:ascii="Garamond" w:eastAsia="Times New Roman" w:hAnsi="Garamond" w:cs="Times New Roman"/>
                <w:lang w:eastAsia="it-IT"/>
              </w:rPr>
              <w:t xml:space="preserve"> Documentazione FVOE</w:t>
            </w:r>
          </w:p>
        </w:tc>
      </w:tr>
      <w:tr w:rsidR="00031F31" w:rsidRPr="00023F3C" w14:paraId="5A40150F" w14:textId="77777777" w:rsidTr="00B277D2">
        <w:trPr>
          <w:trHeight w:val="975"/>
        </w:trPr>
        <w:tc>
          <w:tcPr>
            <w:tcW w:w="354" w:type="pct"/>
            <w:shd w:val="clear" w:color="auto" w:fill="auto"/>
            <w:vAlign w:val="center"/>
          </w:tcPr>
          <w:p w14:paraId="22544D46" w14:textId="0419E640" w:rsidR="00031F31" w:rsidRPr="00E22822" w:rsidRDefault="00031F31" w:rsidP="00031F31">
            <w:pPr>
              <w:spacing w:after="0" w:line="240" w:lineRule="auto"/>
              <w:jc w:val="center"/>
              <w:rPr>
                <w:rFonts w:ascii="Garamond" w:eastAsia="Times New Roman" w:hAnsi="Garamond" w:cs="Times New Roman"/>
                <w:color w:val="FF0000"/>
                <w:lang w:eastAsia="it-IT"/>
              </w:rPr>
            </w:pPr>
            <w:r>
              <w:rPr>
                <w:rFonts w:ascii="Garamond" w:eastAsia="Times New Roman" w:hAnsi="Garamond" w:cs="Times New Roman"/>
                <w:color w:val="000000"/>
                <w:lang w:eastAsia="it-IT"/>
              </w:rPr>
              <w:t>1</w:t>
            </w:r>
            <w:r w:rsidR="00B01A7C">
              <w:rPr>
                <w:rFonts w:ascii="Garamond" w:eastAsia="Times New Roman" w:hAnsi="Garamond" w:cs="Times New Roman"/>
                <w:color w:val="000000"/>
                <w:lang w:eastAsia="it-IT"/>
              </w:rPr>
              <w:t>6</w:t>
            </w:r>
          </w:p>
        </w:tc>
        <w:tc>
          <w:tcPr>
            <w:tcW w:w="1371" w:type="pct"/>
            <w:shd w:val="clear" w:color="auto" w:fill="auto"/>
            <w:vAlign w:val="center"/>
          </w:tcPr>
          <w:p w14:paraId="17252B55" w14:textId="37F78AE6" w:rsidR="00031F31" w:rsidRPr="00E22822" w:rsidRDefault="00031F31" w:rsidP="00031F31">
            <w:pPr>
              <w:spacing w:after="0" w:line="240" w:lineRule="auto"/>
              <w:jc w:val="both"/>
              <w:rPr>
                <w:rFonts w:ascii="Garamond" w:hAnsi="Garamond"/>
                <w:color w:val="FF0000"/>
              </w:rPr>
            </w:pPr>
            <w:r>
              <w:rPr>
                <w:rFonts w:ascii="Garamond" w:hAnsi="Garamond"/>
              </w:rPr>
              <w:t xml:space="preserve">Sono stati assolti gli obblighi </w:t>
            </w:r>
            <w:r w:rsidRPr="00AE3C7A">
              <w:rPr>
                <w:rFonts w:ascii="Garamond" w:hAnsi="Garamond"/>
              </w:rPr>
              <w:t xml:space="preserve">di pubblicità e trasparenza </w:t>
            </w:r>
            <w:r w:rsidRPr="00AE3C7A">
              <w:rPr>
                <w:rFonts w:ascii="Garamond" w:hAnsi="Garamond"/>
                <w:i/>
                <w:iCs/>
              </w:rPr>
              <w:t>post</w:t>
            </w:r>
            <w:r w:rsidRPr="00AE3C7A">
              <w:rPr>
                <w:rFonts w:ascii="Garamond" w:hAnsi="Garamond"/>
              </w:rPr>
              <w:t xml:space="preserve"> aggiudicazione ai sensi degli artt. 90 e 111 del </w:t>
            </w:r>
            <w:r>
              <w:rPr>
                <w:rFonts w:ascii="Garamond" w:hAnsi="Garamond"/>
              </w:rPr>
              <w:t>D</w:t>
            </w:r>
            <w:r w:rsidRPr="00AE3C7A">
              <w:rPr>
                <w:rFonts w:ascii="Garamond" w:hAnsi="Garamond"/>
              </w:rPr>
              <w:t>.</w:t>
            </w:r>
            <w:r>
              <w:rPr>
                <w:rFonts w:ascii="Garamond" w:hAnsi="Garamond"/>
              </w:rPr>
              <w:t xml:space="preserve"> L</w:t>
            </w:r>
            <w:r w:rsidRPr="00AE3C7A">
              <w:rPr>
                <w:rFonts w:ascii="Garamond" w:hAnsi="Garamond"/>
              </w:rPr>
              <w:t>gs. 36/2023?</w:t>
            </w:r>
          </w:p>
        </w:tc>
        <w:tc>
          <w:tcPr>
            <w:tcW w:w="133" w:type="pct"/>
            <w:shd w:val="clear" w:color="auto" w:fill="auto"/>
            <w:vAlign w:val="center"/>
          </w:tcPr>
          <w:p w14:paraId="07FC1880"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D4497F3"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B8640FB"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877D930" w14:textId="77777777" w:rsidR="00031F31" w:rsidRPr="00BB1BAB"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58D3F7F4"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6DC2C99"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2E9872DF" w14:textId="77777777" w:rsidR="00031F31" w:rsidRPr="00AE3C7A" w:rsidRDefault="00031F31" w:rsidP="00031F31">
            <w:pPr>
              <w:spacing w:after="0" w:line="240" w:lineRule="auto"/>
              <w:jc w:val="both"/>
              <w:rPr>
                <w:rFonts w:ascii="Garamond" w:eastAsia="Times New Roman" w:hAnsi="Garamond" w:cs="Times New Roman"/>
                <w:lang w:eastAsia="it-IT"/>
              </w:rPr>
            </w:pPr>
            <w:r w:rsidRPr="00AE3C7A">
              <w:rPr>
                <w:rFonts w:ascii="Garamond" w:eastAsia="Times New Roman" w:hAnsi="Garamond" w:cs="Times New Roman"/>
                <w:lang w:eastAsia="it-IT"/>
              </w:rPr>
              <w:t>• Avviso di aggiudicazione</w:t>
            </w:r>
          </w:p>
          <w:p w14:paraId="297B9C45" w14:textId="77777777" w:rsidR="00031F31" w:rsidRPr="00AE3C7A" w:rsidRDefault="00031F31" w:rsidP="00031F31">
            <w:pPr>
              <w:spacing w:after="0" w:line="240" w:lineRule="auto"/>
              <w:jc w:val="both"/>
              <w:rPr>
                <w:rFonts w:ascii="Garamond" w:eastAsia="Times New Roman" w:hAnsi="Garamond" w:cs="Times New Roman"/>
                <w:lang w:eastAsia="it-IT"/>
              </w:rPr>
            </w:pPr>
            <w:r w:rsidRPr="00AE3C7A">
              <w:rPr>
                <w:rFonts w:ascii="Garamond" w:eastAsia="Times New Roman" w:hAnsi="Garamond" w:cs="Times New Roman"/>
                <w:lang w:eastAsia="it-IT"/>
              </w:rPr>
              <w:t>• Comunicazione aggiudicatario</w:t>
            </w:r>
          </w:p>
          <w:p w14:paraId="57A7C511" w14:textId="0626D2F2" w:rsidR="00031F31" w:rsidRPr="00E22822" w:rsidRDefault="00031F31" w:rsidP="00031F31">
            <w:pPr>
              <w:spacing w:after="0" w:line="240" w:lineRule="auto"/>
              <w:jc w:val="both"/>
              <w:rPr>
                <w:rFonts w:ascii="Garamond" w:eastAsia="Times New Roman" w:hAnsi="Garamond" w:cs="Times New Roman"/>
                <w:color w:val="FF0000"/>
                <w:lang w:eastAsia="it-IT"/>
              </w:rPr>
            </w:pPr>
            <w:r w:rsidRPr="00AE3C7A">
              <w:rPr>
                <w:rFonts w:ascii="Garamond" w:eastAsia="Times New Roman" w:hAnsi="Garamond" w:cs="Times New Roman"/>
                <w:lang w:eastAsia="it-IT"/>
              </w:rPr>
              <w:t xml:space="preserve">• Comunicazioni </w:t>
            </w:r>
            <w:r w:rsidRPr="00605155">
              <w:rPr>
                <w:rFonts w:ascii="Garamond" w:eastAsia="Times New Roman" w:hAnsi="Garamond" w:cs="Times New Roman"/>
                <w:i/>
                <w:iCs/>
                <w:lang w:eastAsia="it-IT"/>
              </w:rPr>
              <w:t>ex</w:t>
            </w:r>
            <w:r w:rsidRPr="00AE3C7A">
              <w:rPr>
                <w:rFonts w:ascii="Garamond" w:eastAsia="Times New Roman" w:hAnsi="Garamond" w:cs="Times New Roman"/>
                <w:lang w:eastAsia="it-IT"/>
              </w:rPr>
              <w:t xml:space="preserve"> art.</w:t>
            </w:r>
            <w:r>
              <w:rPr>
                <w:rFonts w:ascii="Garamond" w:eastAsia="Times New Roman" w:hAnsi="Garamond" w:cs="Times New Roman"/>
                <w:lang w:eastAsia="it-IT"/>
              </w:rPr>
              <w:t xml:space="preserve"> </w:t>
            </w:r>
            <w:r w:rsidRPr="00AE3C7A">
              <w:rPr>
                <w:rFonts w:ascii="Garamond" w:eastAsia="Times New Roman" w:hAnsi="Garamond" w:cs="Times New Roman"/>
                <w:lang w:eastAsia="it-IT"/>
              </w:rPr>
              <w:t>90</w:t>
            </w:r>
            <w:r>
              <w:rPr>
                <w:rFonts w:ascii="Garamond" w:eastAsia="Times New Roman" w:hAnsi="Garamond" w:cs="Times New Roman"/>
                <w:lang w:eastAsia="it-IT"/>
              </w:rPr>
              <w:t xml:space="preserve"> ai candidati e agli offerenti </w:t>
            </w:r>
          </w:p>
        </w:tc>
      </w:tr>
      <w:tr w:rsidR="00031F31" w:rsidRPr="00023F3C" w14:paraId="3DD1DB57" w14:textId="77777777" w:rsidTr="00B277D2">
        <w:trPr>
          <w:trHeight w:val="975"/>
        </w:trPr>
        <w:tc>
          <w:tcPr>
            <w:tcW w:w="354" w:type="pct"/>
            <w:shd w:val="clear" w:color="auto" w:fill="auto"/>
            <w:vAlign w:val="center"/>
          </w:tcPr>
          <w:p w14:paraId="7D71B3EB" w14:textId="3449D342" w:rsidR="00031F31" w:rsidRPr="006F17CB" w:rsidRDefault="00031F31" w:rsidP="004037A1">
            <w:pPr>
              <w:spacing w:after="0" w:line="240" w:lineRule="auto"/>
              <w:jc w:val="center"/>
              <w:rPr>
                <w:rFonts w:ascii="Garamond" w:eastAsia="Times New Roman" w:hAnsi="Garamond" w:cs="Times New Roman"/>
                <w:lang w:eastAsia="it-IT"/>
              </w:rPr>
            </w:pPr>
            <w:r w:rsidRPr="006F17CB">
              <w:rPr>
                <w:rFonts w:ascii="Garamond" w:eastAsia="Times New Roman" w:hAnsi="Garamond" w:cs="Times New Roman"/>
                <w:lang w:eastAsia="it-IT"/>
              </w:rPr>
              <w:t>1</w:t>
            </w:r>
            <w:r w:rsidR="00B01A7C">
              <w:rPr>
                <w:rFonts w:ascii="Garamond" w:eastAsia="Times New Roman" w:hAnsi="Garamond" w:cs="Times New Roman"/>
                <w:lang w:eastAsia="it-IT"/>
              </w:rPr>
              <w:t>7</w:t>
            </w:r>
          </w:p>
        </w:tc>
        <w:tc>
          <w:tcPr>
            <w:tcW w:w="1371" w:type="pct"/>
            <w:shd w:val="clear" w:color="auto" w:fill="auto"/>
            <w:vAlign w:val="center"/>
          </w:tcPr>
          <w:p w14:paraId="0E103895" w14:textId="0E6B8A6A" w:rsidR="00031F31" w:rsidRPr="006F17CB" w:rsidRDefault="00031F31" w:rsidP="00031F31">
            <w:pPr>
              <w:spacing w:after="0" w:line="240" w:lineRule="auto"/>
              <w:jc w:val="both"/>
              <w:rPr>
                <w:rFonts w:ascii="Garamond" w:hAnsi="Garamond"/>
              </w:rPr>
            </w:pPr>
            <w:r w:rsidRPr="006F17CB">
              <w:rPr>
                <w:rFonts w:ascii="Garamond" w:hAnsi="Garamond"/>
              </w:rPr>
              <w:t>È stato predisposto apposito atto di approvazione del quadro economico rideterminato a seguito dell’aggiudicazione del contratto?</w:t>
            </w:r>
          </w:p>
        </w:tc>
        <w:tc>
          <w:tcPr>
            <w:tcW w:w="133" w:type="pct"/>
            <w:shd w:val="clear" w:color="auto" w:fill="auto"/>
            <w:vAlign w:val="center"/>
          </w:tcPr>
          <w:p w14:paraId="1F57697F" w14:textId="77777777" w:rsidR="00031F31" w:rsidRPr="006F17CB" w:rsidRDefault="00031F31" w:rsidP="00031F31">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7776FDE8" w14:textId="77777777" w:rsidR="00031F31" w:rsidRPr="006F17CB" w:rsidRDefault="00031F31" w:rsidP="00031F31">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2AF7A624" w14:textId="77777777" w:rsidR="00031F31" w:rsidRPr="006F17CB" w:rsidRDefault="00031F31" w:rsidP="00031F31">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79AD8C77" w14:textId="77777777" w:rsidR="00031F31" w:rsidRPr="006F17CB" w:rsidRDefault="00031F31" w:rsidP="00031F31">
            <w:pPr>
              <w:spacing w:after="0" w:line="240" w:lineRule="auto"/>
              <w:jc w:val="both"/>
              <w:rPr>
                <w:rFonts w:ascii="Garamond" w:eastAsia="Times New Roman" w:hAnsi="Garamond" w:cs="Times New Roman"/>
                <w:lang w:eastAsia="it-IT"/>
              </w:rPr>
            </w:pPr>
          </w:p>
        </w:tc>
        <w:tc>
          <w:tcPr>
            <w:tcW w:w="662" w:type="pct"/>
          </w:tcPr>
          <w:p w14:paraId="11F2A5D2" w14:textId="77777777" w:rsidR="00031F31" w:rsidRPr="006F17CB" w:rsidRDefault="00031F31" w:rsidP="00031F31">
            <w:pPr>
              <w:spacing w:after="0" w:line="240" w:lineRule="auto"/>
              <w:jc w:val="both"/>
              <w:rPr>
                <w:rFonts w:ascii="Garamond" w:eastAsia="Times New Roman" w:hAnsi="Garamond" w:cs="Times New Roman"/>
                <w:b/>
                <w:bCs/>
                <w:lang w:eastAsia="it-IT"/>
              </w:rPr>
            </w:pPr>
          </w:p>
        </w:tc>
        <w:tc>
          <w:tcPr>
            <w:tcW w:w="399" w:type="pct"/>
            <w:shd w:val="clear" w:color="auto" w:fill="auto"/>
            <w:vAlign w:val="center"/>
          </w:tcPr>
          <w:p w14:paraId="24D0350B" w14:textId="77777777" w:rsidR="00031F31" w:rsidRPr="006F17CB" w:rsidRDefault="00031F31" w:rsidP="00031F31">
            <w:pPr>
              <w:spacing w:after="0" w:line="240" w:lineRule="auto"/>
              <w:jc w:val="both"/>
              <w:rPr>
                <w:rFonts w:ascii="Garamond" w:eastAsia="Times New Roman" w:hAnsi="Garamond" w:cs="Times New Roman"/>
                <w:b/>
                <w:bCs/>
                <w:lang w:eastAsia="it-IT"/>
              </w:rPr>
            </w:pPr>
          </w:p>
        </w:tc>
        <w:tc>
          <w:tcPr>
            <w:tcW w:w="1151" w:type="pct"/>
            <w:vAlign w:val="center"/>
          </w:tcPr>
          <w:p w14:paraId="628FB2F9" w14:textId="4EA9C937" w:rsidR="00031F31" w:rsidRPr="006F17CB" w:rsidRDefault="00031F31" w:rsidP="00031F31">
            <w:pPr>
              <w:spacing w:after="0" w:line="240" w:lineRule="auto"/>
              <w:jc w:val="both"/>
              <w:rPr>
                <w:rFonts w:ascii="Garamond" w:eastAsia="Times New Roman" w:hAnsi="Garamond" w:cs="Times New Roman"/>
                <w:lang w:eastAsia="it-IT"/>
              </w:rPr>
            </w:pPr>
            <w:r w:rsidRPr="006F17CB">
              <w:rPr>
                <w:rFonts w:ascii="Garamond" w:eastAsia="Times New Roman" w:hAnsi="Garamond" w:cs="Times New Roman"/>
                <w:lang w:eastAsia="it-IT"/>
              </w:rPr>
              <w:t xml:space="preserve">• Atto di approvazione del quadro economico </w:t>
            </w:r>
            <w:r w:rsidRPr="006F17CB">
              <w:rPr>
                <w:rFonts w:ascii="Garamond" w:eastAsia="Times New Roman" w:hAnsi="Garamond" w:cs="Times New Roman"/>
                <w:i/>
                <w:iCs/>
                <w:lang w:eastAsia="it-IT"/>
              </w:rPr>
              <w:t>post</w:t>
            </w:r>
            <w:r w:rsidRPr="006F17CB">
              <w:rPr>
                <w:rFonts w:ascii="Garamond" w:eastAsia="Times New Roman" w:hAnsi="Garamond" w:cs="Times New Roman"/>
                <w:lang w:eastAsia="it-IT"/>
              </w:rPr>
              <w:t xml:space="preserve"> aggiudicazione</w:t>
            </w:r>
          </w:p>
        </w:tc>
      </w:tr>
      <w:tr w:rsidR="00031F31" w:rsidRPr="00023F3C" w14:paraId="496E5126" w14:textId="77777777" w:rsidTr="00B277D2">
        <w:trPr>
          <w:trHeight w:val="975"/>
        </w:trPr>
        <w:tc>
          <w:tcPr>
            <w:tcW w:w="354" w:type="pct"/>
            <w:shd w:val="clear" w:color="auto" w:fill="auto"/>
            <w:vAlign w:val="center"/>
          </w:tcPr>
          <w:p w14:paraId="22EE7DB5" w14:textId="579B9F4B" w:rsidR="00031F31" w:rsidRPr="004037A1" w:rsidRDefault="00B01A7C" w:rsidP="004037A1">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18</w:t>
            </w:r>
          </w:p>
        </w:tc>
        <w:tc>
          <w:tcPr>
            <w:tcW w:w="1371" w:type="pct"/>
            <w:shd w:val="clear" w:color="auto" w:fill="auto"/>
            <w:vAlign w:val="center"/>
          </w:tcPr>
          <w:p w14:paraId="32595089" w14:textId="703BA92C" w:rsidR="00031F31" w:rsidRPr="00E22822" w:rsidRDefault="00031F31" w:rsidP="00031F31">
            <w:pPr>
              <w:spacing w:after="0" w:line="240" w:lineRule="auto"/>
              <w:jc w:val="both"/>
              <w:rPr>
                <w:rFonts w:ascii="Garamond" w:hAnsi="Garamond"/>
                <w:color w:val="FF0000"/>
              </w:rPr>
            </w:pPr>
            <w:r w:rsidRPr="00634831">
              <w:rPr>
                <w:rFonts w:ascii="Garamond" w:hAnsi="Garamond"/>
              </w:rPr>
              <w:t>Sono state applicate corrette procedure di risoluzione di eventuali controversie?</w:t>
            </w:r>
          </w:p>
        </w:tc>
        <w:tc>
          <w:tcPr>
            <w:tcW w:w="133" w:type="pct"/>
            <w:shd w:val="clear" w:color="auto" w:fill="auto"/>
            <w:vAlign w:val="center"/>
          </w:tcPr>
          <w:p w14:paraId="2773720F"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2EB7E92"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F6367B3"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38E34DD" w14:textId="77777777" w:rsidR="00031F31" w:rsidRPr="00BB1BAB"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118EDF6D"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311E039C"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677D3530" w14:textId="3BD5DF11" w:rsidR="00031F31" w:rsidRPr="00E22822" w:rsidRDefault="00031F31" w:rsidP="00031F31">
            <w:pPr>
              <w:spacing w:after="0" w:line="240" w:lineRule="auto"/>
              <w:jc w:val="both"/>
              <w:rPr>
                <w:rFonts w:ascii="Garamond" w:eastAsia="Times New Roman" w:hAnsi="Garamond" w:cs="Times New Roman"/>
                <w:color w:val="FF0000"/>
                <w:lang w:eastAsia="it-IT"/>
              </w:rPr>
            </w:pPr>
            <w:r w:rsidRPr="00BB1BAB">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w:t>
            </w:r>
            <w:r w:rsidRPr="007D29C9">
              <w:rPr>
                <w:rFonts w:ascii="Garamond" w:eastAsia="Times New Roman" w:hAnsi="Garamond" w:cs="Times New Roman"/>
                <w:color w:val="000000"/>
                <w:lang w:eastAsia="it-IT"/>
              </w:rPr>
              <w:t>ttestazione assenza di ricorsi</w:t>
            </w:r>
          </w:p>
        </w:tc>
      </w:tr>
      <w:tr w:rsidR="00031F31" w:rsidRPr="00023F3C" w14:paraId="13832FE0" w14:textId="77777777" w:rsidTr="00B277D2">
        <w:trPr>
          <w:trHeight w:val="975"/>
        </w:trPr>
        <w:tc>
          <w:tcPr>
            <w:tcW w:w="354" w:type="pct"/>
            <w:shd w:val="clear" w:color="auto" w:fill="auto"/>
            <w:vAlign w:val="center"/>
          </w:tcPr>
          <w:p w14:paraId="331D4999" w14:textId="73C46050" w:rsidR="00031F31" w:rsidRPr="004037A1" w:rsidRDefault="00B01A7C" w:rsidP="004037A1">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19</w:t>
            </w:r>
          </w:p>
        </w:tc>
        <w:tc>
          <w:tcPr>
            <w:tcW w:w="1371" w:type="pct"/>
            <w:shd w:val="clear" w:color="auto" w:fill="auto"/>
            <w:vAlign w:val="center"/>
          </w:tcPr>
          <w:p w14:paraId="059D4109" w14:textId="79055F62" w:rsidR="00031F31" w:rsidRPr="00E22822" w:rsidRDefault="00031F31" w:rsidP="00031F31">
            <w:pPr>
              <w:spacing w:after="0" w:line="240" w:lineRule="auto"/>
              <w:jc w:val="both"/>
              <w:rPr>
                <w:rFonts w:ascii="Garamond" w:hAnsi="Garamond"/>
                <w:color w:val="FF0000"/>
              </w:rPr>
            </w:pPr>
            <w:r>
              <w:rPr>
                <w:rFonts w:ascii="Garamond" w:hAnsi="Garamond"/>
              </w:rPr>
              <w:t>E’ stata comunicata la data di avvenuta stipulazione del contratto con l’aggiudicatario ai sensi dell’art. 90 del D. Lgs. 36/2023?</w:t>
            </w:r>
          </w:p>
        </w:tc>
        <w:tc>
          <w:tcPr>
            <w:tcW w:w="133" w:type="pct"/>
            <w:shd w:val="clear" w:color="auto" w:fill="auto"/>
            <w:vAlign w:val="center"/>
          </w:tcPr>
          <w:p w14:paraId="7CD4B08F"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6866A4B"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DA87AF6"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38226A6" w14:textId="77777777" w:rsidR="00031F31" w:rsidRPr="00BB1BAB"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6311B519"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395D7798" w14:textId="77777777" w:rsidR="00031F31" w:rsidRPr="00BB1BAB"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51C1D131" w14:textId="5E2925EA" w:rsidR="00031F31" w:rsidRPr="00E22822" w:rsidRDefault="00031F31" w:rsidP="00031F31">
            <w:pPr>
              <w:spacing w:after="0" w:line="240" w:lineRule="auto"/>
              <w:jc w:val="both"/>
              <w:rPr>
                <w:rFonts w:ascii="Garamond" w:eastAsia="Times New Roman" w:hAnsi="Garamond" w:cs="Times New Roman"/>
                <w:color w:val="FF0000"/>
                <w:lang w:eastAsia="it-IT"/>
              </w:rPr>
            </w:pPr>
            <w:r w:rsidRPr="00BB1BA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di avvenuta stipula del contratto</w:t>
            </w:r>
          </w:p>
        </w:tc>
      </w:tr>
      <w:tr w:rsidR="00031F31" w:rsidRPr="00023F3C" w14:paraId="191B4F59" w14:textId="77777777" w:rsidTr="005B467E">
        <w:trPr>
          <w:trHeight w:val="795"/>
        </w:trPr>
        <w:tc>
          <w:tcPr>
            <w:tcW w:w="354" w:type="pct"/>
            <w:shd w:val="clear" w:color="auto" w:fill="B8CCE4"/>
            <w:vAlign w:val="center"/>
          </w:tcPr>
          <w:p w14:paraId="41377330" w14:textId="71234EF5" w:rsidR="00031F31" w:rsidRPr="008C4DB0" w:rsidRDefault="00B1010E" w:rsidP="00031F3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lastRenderedPageBreak/>
              <w:t>I</w:t>
            </w:r>
          </w:p>
        </w:tc>
        <w:tc>
          <w:tcPr>
            <w:tcW w:w="4646" w:type="pct"/>
            <w:gridSpan w:val="8"/>
            <w:shd w:val="clear" w:color="auto" w:fill="B8CCE4"/>
            <w:vAlign w:val="center"/>
          </w:tcPr>
          <w:p w14:paraId="5A01FB87" w14:textId="404EFF5C" w:rsidR="00031F31" w:rsidRPr="008C4DB0" w:rsidRDefault="00031F31" w:rsidP="00031F3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r>
      <w:tr w:rsidR="00031F31" w:rsidRPr="00023F3C" w14:paraId="7A377308" w14:textId="77777777" w:rsidTr="00B277D2">
        <w:trPr>
          <w:trHeight w:val="834"/>
        </w:trPr>
        <w:tc>
          <w:tcPr>
            <w:tcW w:w="354" w:type="pct"/>
            <w:shd w:val="clear" w:color="auto" w:fill="auto"/>
            <w:vAlign w:val="center"/>
          </w:tcPr>
          <w:p w14:paraId="2CDCE439" w14:textId="70FA4245"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371" w:type="pct"/>
            <w:shd w:val="clear" w:color="auto" w:fill="auto"/>
            <w:vAlign w:val="center"/>
          </w:tcPr>
          <w:p w14:paraId="312C1A34" w14:textId="5ED45357" w:rsidR="00031F31" w:rsidRPr="008E64EF" w:rsidDel="00474EA0" w:rsidRDefault="00031F31" w:rsidP="00031F31">
            <w:pPr>
              <w:spacing w:after="0" w:line="240" w:lineRule="auto"/>
              <w:jc w:val="both"/>
              <w:rPr>
                <w:rFonts w:ascii="Garamond" w:eastAsia="Times New Roman" w:hAnsi="Garamond" w:cs="Times New Roman"/>
                <w:color w:val="000000"/>
                <w:lang w:eastAsia="it-IT"/>
              </w:rPr>
            </w:pPr>
            <w:r w:rsidRPr="00291B4E">
              <w:rPr>
                <w:rFonts w:ascii="Garamond" w:eastAsia="Times New Roman" w:hAnsi="Garamond" w:cs="Times New Roman"/>
                <w:color w:val="000000"/>
                <w:lang w:eastAsia="it-IT"/>
              </w:rPr>
              <w:t xml:space="preserve">Nel caso in cui l’aggiudicatario sia un consorzio stabile </w:t>
            </w:r>
            <w:r>
              <w:rPr>
                <w:rFonts w:ascii="Garamond" w:eastAsia="Times New Roman" w:hAnsi="Garamond" w:cs="Times New Roman"/>
                <w:color w:val="000000"/>
                <w:lang w:eastAsia="it-IT"/>
              </w:rPr>
              <w:t>(</w:t>
            </w:r>
            <w:r w:rsidRPr="00291B4E">
              <w:rPr>
                <w:rFonts w:ascii="Garamond" w:eastAsia="Times New Roman" w:hAnsi="Garamond" w:cs="Times New Roman"/>
                <w:color w:val="000000"/>
                <w:lang w:eastAsia="it-IT"/>
              </w:rPr>
              <w:t xml:space="preserve">art. 65, comma 2, lett. d), del </w:t>
            </w:r>
            <w:r>
              <w:rPr>
                <w:rFonts w:ascii="Garamond" w:eastAsia="Times New Roman" w:hAnsi="Garamond" w:cs="Times New Roman"/>
                <w:color w:val="000000"/>
                <w:lang w:eastAsia="it-IT"/>
              </w:rPr>
              <w:t>D</w:t>
            </w:r>
            <w:r w:rsidRPr="00291B4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291B4E">
              <w:rPr>
                <w:rFonts w:ascii="Garamond" w:eastAsia="Times New Roman" w:hAnsi="Garamond" w:cs="Times New Roman"/>
                <w:color w:val="000000"/>
                <w:lang w:eastAsia="it-IT"/>
              </w:rPr>
              <w:t>gs. 36/2023</w:t>
            </w:r>
            <w:r>
              <w:rPr>
                <w:rFonts w:ascii="Garamond" w:eastAsia="Times New Roman" w:hAnsi="Garamond" w:cs="Times New Roman"/>
                <w:color w:val="000000"/>
                <w:lang w:eastAsia="it-IT"/>
              </w:rPr>
              <w:t>)</w:t>
            </w:r>
            <w:r w:rsidRPr="00291B4E">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33" w:type="pct"/>
            <w:shd w:val="clear" w:color="auto" w:fill="auto"/>
            <w:vAlign w:val="center"/>
          </w:tcPr>
          <w:p w14:paraId="03F5F8E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E5AC91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BE0D437"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B3A148E" w14:textId="77777777" w:rsidR="00031F31" w:rsidRPr="00AC56F1"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2063A0B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4E334581" w14:textId="309A094D"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FFE4F5D" w14:textId="77777777" w:rsidR="00031F31" w:rsidRPr="008E64EF" w:rsidDel="00474EA0" w:rsidRDefault="00031F31" w:rsidP="00031F3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031F31" w:rsidRPr="00023F3C" w14:paraId="0EF1F897" w14:textId="77777777" w:rsidTr="00B277D2">
        <w:trPr>
          <w:trHeight w:val="834"/>
        </w:trPr>
        <w:tc>
          <w:tcPr>
            <w:tcW w:w="354" w:type="pct"/>
            <w:shd w:val="clear" w:color="auto" w:fill="auto"/>
            <w:vAlign w:val="center"/>
          </w:tcPr>
          <w:p w14:paraId="3C44E85A" w14:textId="2AF7B25D"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371" w:type="pct"/>
            <w:shd w:val="clear" w:color="auto" w:fill="auto"/>
            <w:vAlign w:val="center"/>
          </w:tcPr>
          <w:p w14:paraId="2556A7E5" w14:textId="602B0B0B" w:rsidR="00031F31" w:rsidRPr="00437A27" w:rsidRDefault="00031F31" w:rsidP="00031F31">
            <w:pPr>
              <w:spacing w:after="0" w:line="240" w:lineRule="auto"/>
              <w:jc w:val="both"/>
              <w:rPr>
                <w:rFonts w:ascii="Garamond" w:eastAsia="Times New Roman" w:hAnsi="Garamond" w:cs="Times New Roman"/>
                <w:color w:val="000000"/>
                <w:lang w:eastAsia="it-IT"/>
              </w:rPr>
            </w:pPr>
            <w:r w:rsidRPr="00437A27">
              <w:rPr>
                <w:rFonts w:ascii="Garamond" w:eastAsia="Times New Roman" w:hAnsi="Garamond" w:cs="Times New Roman"/>
                <w:color w:val="000000"/>
                <w:lang w:eastAsia="it-IT"/>
              </w:rPr>
              <w:t xml:space="preserve">Nel caso in cui l’aggiudicatario sia un raggruppamento temporaneo di concorrenti </w:t>
            </w:r>
            <w:r>
              <w:rPr>
                <w:rFonts w:ascii="Garamond" w:eastAsia="Times New Roman" w:hAnsi="Garamond" w:cs="Times New Roman"/>
                <w:color w:val="000000"/>
                <w:lang w:eastAsia="it-IT"/>
              </w:rPr>
              <w:t>(</w:t>
            </w:r>
            <w:r w:rsidRPr="00437A27">
              <w:rPr>
                <w:rFonts w:ascii="Garamond" w:eastAsia="Times New Roman" w:hAnsi="Garamond" w:cs="Times New Roman"/>
                <w:color w:val="000000"/>
                <w:lang w:eastAsia="it-IT"/>
              </w:rPr>
              <w:t xml:space="preserve">art. 65, comma 2, lett. e), del </w:t>
            </w:r>
            <w:r>
              <w:rPr>
                <w:rFonts w:ascii="Garamond" w:eastAsia="Times New Roman" w:hAnsi="Garamond" w:cs="Times New Roman"/>
                <w:color w:val="000000"/>
                <w:lang w:eastAsia="it-IT"/>
              </w:rPr>
              <w:t>D</w:t>
            </w:r>
            <w:r w:rsidRPr="00437A2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437A27">
              <w:rPr>
                <w:rFonts w:ascii="Garamond" w:eastAsia="Times New Roman" w:hAnsi="Garamond" w:cs="Times New Roman"/>
                <w:color w:val="000000"/>
                <w:lang w:eastAsia="it-IT"/>
              </w:rPr>
              <w:t>gs. 36/2023</w:t>
            </w:r>
            <w:r>
              <w:rPr>
                <w:rFonts w:ascii="Garamond" w:eastAsia="Times New Roman" w:hAnsi="Garamond" w:cs="Times New Roman"/>
                <w:color w:val="000000"/>
                <w:lang w:eastAsia="it-IT"/>
              </w:rPr>
              <w:t>)</w:t>
            </w:r>
            <w:r w:rsidRPr="00437A27">
              <w:rPr>
                <w:rFonts w:ascii="Garamond" w:eastAsia="Times New Roman" w:hAnsi="Garamond" w:cs="Times New Roman"/>
                <w:color w:val="000000"/>
                <w:lang w:eastAsia="it-IT"/>
              </w:rPr>
              <w:t>:</w:t>
            </w:r>
          </w:p>
          <w:p w14:paraId="0873D117" w14:textId="1211634B" w:rsidR="00031F31" w:rsidRPr="000C53D7" w:rsidRDefault="00031F31" w:rsidP="00031F31">
            <w:pPr>
              <w:pStyle w:val="ListParagraph"/>
              <w:numPr>
                <w:ilvl w:val="0"/>
                <w:numId w:val="27"/>
              </w:numPr>
              <w:spacing w:after="0" w:line="240" w:lineRule="auto"/>
              <w:jc w:val="both"/>
              <w:rPr>
                <w:rFonts w:ascii="Garamond" w:eastAsia="Times New Roman" w:hAnsi="Garamond" w:cs="Times New Roman"/>
                <w:color w:val="000000"/>
                <w:lang w:eastAsia="it-IT"/>
              </w:rPr>
            </w:pPr>
            <w:r w:rsidRPr="000C53D7">
              <w:rPr>
                <w:rFonts w:ascii="Garamond" w:eastAsia="Times New Roman" w:hAnsi="Garamond" w:cs="Times New Roman"/>
                <w:color w:val="000000"/>
                <w:lang w:eastAsia="it-IT"/>
              </w:rPr>
              <w:t>è stato trasmesso il relativo atto di costituzione del raggruppamento temporaneo?</w:t>
            </w:r>
          </w:p>
          <w:p w14:paraId="5E290B1D" w14:textId="72A1E0C6" w:rsidR="00031F31" w:rsidRPr="000C53D7" w:rsidRDefault="00031F31" w:rsidP="00031F31">
            <w:pPr>
              <w:pStyle w:val="ListParagraph"/>
              <w:numPr>
                <w:ilvl w:val="0"/>
                <w:numId w:val="27"/>
              </w:numPr>
              <w:spacing w:after="0" w:line="240" w:lineRule="auto"/>
              <w:jc w:val="both"/>
              <w:rPr>
                <w:rFonts w:ascii="Garamond" w:eastAsia="Times New Roman" w:hAnsi="Garamond" w:cs="Times New Roman"/>
                <w:color w:val="000000"/>
                <w:lang w:eastAsia="it-IT"/>
              </w:rPr>
            </w:pPr>
            <w:r w:rsidRPr="000C53D7">
              <w:rPr>
                <w:rFonts w:ascii="Garamond" w:eastAsia="Times New Roman" w:hAnsi="Garamond" w:cs="Times New Roman"/>
                <w:color w:val="000000"/>
                <w:lang w:eastAsia="it-IT"/>
              </w:rPr>
              <w:t>gli operatori economici hanno conferito, con un unico atto, mandato collettivo speciale con rappresentanza ad uno di essi, detto mandatario?</w:t>
            </w:r>
          </w:p>
          <w:p w14:paraId="679C345F" w14:textId="583722EA" w:rsidR="00031F31" w:rsidRPr="000C53D7" w:rsidRDefault="00031F31" w:rsidP="00031F31">
            <w:pPr>
              <w:pStyle w:val="ListParagraph"/>
              <w:numPr>
                <w:ilvl w:val="0"/>
                <w:numId w:val="27"/>
              </w:numPr>
              <w:spacing w:after="0" w:line="240" w:lineRule="auto"/>
              <w:jc w:val="both"/>
              <w:rPr>
                <w:rFonts w:ascii="Garamond" w:eastAsia="Times New Roman" w:hAnsi="Garamond" w:cs="Times New Roman"/>
                <w:color w:val="000000"/>
                <w:lang w:eastAsia="it-IT"/>
              </w:rPr>
            </w:pPr>
            <w:r w:rsidRPr="000C53D7">
              <w:rPr>
                <w:rFonts w:ascii="Garamond" w:eastAsia="Times New Roman" w:hAnsi="Garamond" w:cs="Times New Roman"/>
                <w:color w:val="000000"/>
                <w:lang w:eastAsia="it-IT"/>
              </w:rPr>
              <w:t>il mandato risulta da scrittura privata autenticata?</w:t>
            </w:r>
          </w:p>
          <w:p w14:paraId="78E8D62F" w14:textId="6434DF0E" w:rsidR="00031F31" w:rsidRPr="000C53D7" w:rsidDel="00474EA0" w:rsidRDefault="00031F31" w:rsidP="00031F31">
            <w:pPr>
              <w:pStyle w:val="ListParagraph"/>
              <w:numPr>
                <w:ilvl w:val="0"/>
                <w:numId w:val="27"/>
              </w:numPr>
              <w:spacing w:after="0" w:line="240" w:lineRule="auto"/>
              <w:jc w:val="both"/>
              <w:rPr>
                <w:rFonts w:ascii="Garamond" w:eastAsia="Times New Roman" w:hAnsi="Garamond" w:cs="Times New Roman"/>
                <w:color w:val="000000"/>
                <w:lang w:eastAsia="it-IT"/>
              </w:rPr>
            </w:pPr>
            <w:r w:rsidRPr="000C53D7">
              <w:rPr>
                <w:rFonts w:ascii="Garamond" w:eastAsia="Times New Roman" w:hAnsi="Garamond" w:cs="Times New Roman"/>
                <w:color w:val="000000"/>
                <w:lang w:eastAsia="it-IT"/>
              </w:rPr>
              <w:t>il mandato contiene la clausola con la quale la mandataria e le mandanti si impegnano a rispettare nei pagamenti le clausole di tracciabilità di cui alla pertinente normativa?</w:t>
            </w:r>
          </w:p>
        </w:tc>
        <w:tc>
          <w:tcPr>
            <w:tcW w:w="133" w:type="pct"/>
            <w:shd w:val="clear" w:color="auto" w:fill="auto"/>
            <w:vAlign w:val="center"/>
          </w:tcPr>
          <w:p w14:paraId="176DBF64"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8540B9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B4E46E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503B11E" w14:textId="77777777" w:rsidR="00031F31" w:rsidRPr="00AC56F1"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60C1F4A8"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79AE763B" w14:textId="534031C3"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34FAA753" w14:textId="77777777" w:rsidR="00031F31" w:rsidRPr="008E64EF" w:rsidDel="00474EA0" w:rsidRDefault="00031F31" w:rsidP="00031F31">
            <w:pPr>
              <w:spacing w:after="0" w:line="240" w:lineRule="auto"/>
              <w:jc w:val="both"/>
              <w:rPr>
                <w:rFonts w:ascii="Garamond" w:eastAsia="Times New Roman" w:hAnsi="Garamond" w:cs="Times New Roman"/>
                <w:color w:val="000000"/>
                <w:lang w:eastAsia="it-IT"/>
              </w:rPr>
            </w:pPr>
            <w:r w:rsidRPr="00CA4FA7">
              <w:rPr>
                <w:rFonts w:ascii="Garamond" w:eastAsia="Times New Roman" w:hAnsi="Garamond" w:cs="Times New Roman"/>
                <w:color w:val="000000"/>
                <w:lang w:eastAsia="it-IT"/>
              </w:rPr>
              <w:t>• Atto di RTI/contratto</w:t>
            </w:r>
            <w:r>
              <w:rPr>
                <w:rFonts w:ascii="Garamond" w:eastAsia="Times New Roman" w:hAnsi="Garamond" w:cs="Times New Roman"/>
                <w:color w:val="000000"/>
                <w:lang w:eastAsia="it-IT"/>
              </w:rPr>
              <w:t xml:space="preserve"> </w:t>
            </w:r>
          </w:p>
        </w:tc>
      </w:tr>
      <w:tr w:rsidR="00031F31" w:rsidRPr="00023F3C" w14:paraId="4D356AD5" w14:textId="77777777" w:rsidTr="00B277D2">
        <w:trPr>
          <w:trHeight w:val="834"/>
        </w:trPr>
        <w:tc>
          <w:tcPr>
            <w:tcW w:w="354" w:type="pct"/>
            <w:shd w:val="clear" w:color="auto" w:fill="auto"/>
            <w:vAlign w:val="center"/>
          </w:tcPr>
          <w:p w14:paraId="72DF6505" w14:textId="6B060A07" w:rsidR="00031F31" w:rsidRDefault="004037A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371" w:type="pct"/>
            <w:shd w:val="clear" w:color="auto" w:fill="auto"/>
            <w:vAlign w:val="center"/>
          </w:tcPr>
          <w:p w14:paraId="7F335537" w14:textId="77777777" w:rsidR="00031F31" w:rsidRPr="00DC7076" w:rsidRDefault="00031F31" w:rsidP="00031F31">
            <w:pPr>
              <w:spacing w:after="0" w:line="240" w:lineRule="auto"/>
              <w:jc w:val="both"/>
              <w:rPr>
                <w:rFonts w:ascii="Garamond" w:eastAsia="Times New Roman" w:hAnsi="Garamond" w:cs="Times New Roman"/>
                <w:lang w:eastAsia="it-IT"/>
              </w:rPr>
            </w:pPr>
            <w:r w:rsidRPr="00360A70">
              <w:rPr>
                <w:rFonts w:ascii="Garamond" w:eastAsia="Times New Roman" w:hAnsi="Garamond" w:cs="Times New Roman"/>
                <w:color w:val="000000"/>
                <w:lang w:eastAsia="it-IT"/>
              </w:rPr>
              <w:t xml:space="preserve">Il </w:t>
            </w:r>
            <w:r w:rsidRPr="00DC7076">
              <w:rPr>
                <w:rFonts w:ascii="Garamond" w:eastAsia="Times New Roman" w:hAnsi="Garamond" w:cs="Times New Roman"/>
                <w:lang w:eastAsia="it-IT"/>
              </w:rPr>
              <w:t>contratto di appalto di importo superiore a 150 mila euro è stato stipulato dopo aver acquisito:</w:t>
            </w:r>
          </w:p>
          <w:p w14:paraId="6F592E77" w14:textId="1DD27B70" w:rsidR="00031F31" w:rsidRPr="00DC7076" w:rsidRDefault="00031F31" w:rsidP="00031F31">
            <w:pPr>
              <w:pStyle w:val="ListParagraph"/>
              <w:numPr>
                <w:ilvl w:val="0"/>
                <w:numId w:val="30"/>
              </w:numPr>
              <w:spacing w:after="0" w:line="240" w:lineRule="auto"/>
              <w:jc w:val="both"/>
              <w:rPr>
                <w:rFonts w:ascii="Garamond" w:eastAsia="Times New Roman" w:hAnsi="Garamond" w:cs="Times New Roman"/>
                <w:lang w:eastAsia="it-IT"/>
              </w:rPr>
            </w:pPr>
            <w:r w:rsidRPr="00DC7076">
              <w:rPr>
                <w:rFonts w:ascii="Garamond" w:eastAsia="Times New Roman" w:hAnsi="Garamond" w:cs="Times New Roman"/>
                <w:lang w:eastAsia="it-IT"/>
              </w:rPr>
              <w:lastRenderedPageBreak/>
              <w:t>la comunicazione antimafia di cui all’ar</w:t>
            </w:r>
            <w:r>
              <w:rPr>
                <w:rFonts w:ascii="Garamond" w:eastAsia="Times New Roman" w:hAnsi="Garamond" w:cs="Times New Roman"/>
                <w:lang w:eastAsia="it-IT"/>
              </w:rPr>
              <w:t>t</w:t>
            </w:r>
            <w:r w:rsidRPr="00DC7076">
              <w:rPr>
                <w:rFonts w:ascii="Garamond" w:eastAsia="Times New Roman" w:hAnsi="Garamond" w:cs="Times New Roman"/>
                <w:lang w:eastAsia="it-IT"/>
              </w:rPr>
              <w:t xml:space="preserve">t. 84, e 87 del </w:t>
            </w:r>
            <w:r>
              <w:rPr>
                <w:rFonts w:ascii="Garamond" w:eastAsia="Times New Roman" w:hAnsi="Garamond" w:cs="Times New Roman"/>
                <w:lang w:eastAsia="it-IT"/>
              </w:rPr>
              <w:t>D</w:t>
            </w:r>
            <w:r w:rsidRPr="00DC7076">
              <w:rPr>
                <w:rFonts w:ascii="Garamond" w:eastAsia="Times New Roman" w:hAnsi="Garamond" w:cs="Times New Roman"/>
                <w:lang w:eastAsia="it-IT"/>
              </w:rPr>
              <w:t>.</w:t>
            </w:r>
            <w:r>
              <w:rPr>
                <w:rFonts w:ascii="Garamond" w:eastAsia="Times New Roman" w:hAnsi="Garamond" w:cs="Times New Roman"/>
                <w:lang w:eastAsia="it-IT"/>
              </w:rPr>
              <w:t xml:space="preserve"> L</w:t>
            </w:r>
            <w:r w:rsidRPr="00DC7076">
              <w:rPr>
                <w:rFonts w:ascii="Garamond" w:eastAsia="Times New Roman" w:hAnsi="Garamond" w:cs="Times New Roman"/>
                <w:lang w:eastAsia="it-IT"/>
              </w:rPr>
              <w:t>gs. 159/2011, tramite la banca dati nazionale unica?</w:t>
            </w:r>
          </w:p>
          <w:p w14:paraId="4B588570" w14:textId="77777777" w:rsidR="00031F31" w:rsidRPr="00DC7076" w:rsidRDefault="00031F31" w:rsidP="00031F31">
            <w:pPr>
              <w:pStyle w:val="ListParagraph"/>
              <w:spacing w:after="0" w:line="240" w:lineRule="auto"/>
              <w:jc w:val="both"/>
              <w:rPr>
                <w:rFonts w:ascii="Garamond" w:eastAsia="Times New Roman" w:hAnsi="Garamond" w:cs="Times New Roman"/>
                <w:lang w:eastAsia="it-IT"/>
              </w:rPr>
            </w:pPr>
            <w:r w:rsidRPr="00DC7076">
              <w:rPr>
                <w:rFonts w:ascii="Garamond" w:eastAsia="Times New Roman" w:hAnsi="Garamond" w:cs="Times New Roman"/>
                <w:lang w:eastAsia="it-IT"/>
              </w:rPr>
              <w:t>oppure</w:t>
            </w:r>
          </w:p>
          <w:p w14:paraId="1E03FD6B" w14:textId="3584A714" w:rsidR="00031F31" w:rsidRPr="00DC7076" w:rsidDel="00474EA0" w:rsidRDefault="00031F31" w:rsidP="00031F31">
            <w:pPr>
              <w:pStyle w:val="ListParagraph"/>
              <w:numPr>
                <w:ilvl w:val="0"/>
                <w:numId w:val="30"/>
              </w:numPr>
              <w:spacing w:after="0" w:line="240" w:lineRule="auto"/>
              <w:jc w:val="both"/>
              <w:rPr>
                <w:rFonts w:ascii="Garamond" w:eastAsia="Times New Roman" w:hAnsi="Garamond" w:cs="Times New Roman"/>
                <w:color w:val="000000"/>
                <w:lang w:eastAsia="it-IT"/>
              </w:rPr>
            </w:pPr>
            <w:r w:rsidRPr="00DC7076">
              <w:rPr>
                <w:rFonts w:ascii="Garamond" w:eastAsia="Times New Roman" w:hAnsi="Garamond" w:cs="Times New Roman"/>
                <w:lang w:eastAsia="it-IT"/>
              </w:rPr>
              <w:t>in caso d’urgenza congruamente motivata, l’autocertificazione con la quale l'interessato attesti che nei propri confronti non sussistono le cause di divieto, di decadenza o di sospensione di cui all'art</w:t>
            </w:r>
            <w:r>
              <w:rPr>
                <w:rFonts w:ascii="Garamond" w:eastAsia="Times New Roman" w:hAnsi="Garamond" w:cs="Times New Roman"/>
                <w:lang w:eastAsia="it-IT"/>
              </w:rPr>
              <w:t>.</w:t>
            </w:r>
            <w:r w:rsidRPr="00DC7076">
              <w:rPr>
                <w:rFonts w:ascii="Garamond" w:eastAsia="Times New Roman" w:hAnsi="Garamond" w:cs="Times New Roman"/>
                <w:lang w:eastAsia="it-IT"/>
              </w:rPr>
              <w:t xml:space="preserve"> 67 del </w:t>
            </w:r>
            <w:r>
              <w:rPr>
                <w:rFonts w:ascii="Garamond" w:eastAsia="Times New Roman" w:hAnsi="Garamond" w:cs="Times New Roman"/>
                <w:lang w:eastAsia="it-IT"/>
              </w:rPr>
              <w:t>D</w:t>
            </w:r>
            <w:r w:rsidRPr="00DC7076">
              <w:rPr>
                <w:rFonts w:ascii="Garamond" w:eastAsia="Times New Roman" w:hAnsi="Garamond" w:cs="Times New Roman"/>
                <w:lang w:eastAsia="it-IT"/>
              </w:rPr>
              <w:t>.</w:t>
            </w:r>
            <w:r>
              <w:rPr>
                <w:rFonts w:ascii="Garamond" w:eastAsia="Times New Roman" w:hAnsi="Garamond" w:cs="Times New Roman"/>
                <w:lang w:eastAsia="it-IT"/>
              </w:rPr>
              <w:t xml:space="preserve"> L</w:t>
            </w:r>
            <w:r w:rsidRPr="00DC7076">
              <w:rPr>
                <w:rFonts w:ascii="Garamond" w:eastAsia="Times New Roman" w:hAnsi="Garamond" w:cs="Times New Roman"/>
                <w:lang w:eastAsia="it-IT"/>
              </w:rPr>
              <w:t xml:space="preserve">gs. 159/2011? </w:t>
            </w:r>
          </w:p>
        </w:tc>
        <w:tc>
          <w:tcPr>
            <w:tcW w:w="133" w:type="pct"/>
            <w:shd w:val="clear" w:color="auto" w:fill="auto"/>
            <w:vAlign w:val="center"/>
          </w:tcPr>
          <w:p w14:paraId="1A1DC2A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2C1067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220D00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FD87D9E" w14:textId="77777777" w:rsidR="00031F31" w:rsidRPr="00AC56F1"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7C467D1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2F5823A4" w14:textId="509842C6"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635C0D30" w14:textId="77777777" w:rsidR="00031F31" w:rsidRPr="00AC56F1" w:rsidRDefault="00031F31" w:rsidP="00031F3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Comunicazione antimafia</w:t>
            </w:r>
            <w:r w:rsidRPr="00AC56F1">
              <w:rPr>
                <w:rFonts w:ascii="Garamond" w:eastAsia="Times New Roman" w:hAnsi="Garamond" w:cs="Times New Roman"/>
                <w:color w:val="000000"/>
                <w:lang w:eastAsia="it-IT"/>
              </w:rPr>
              <w:tab/>
            </w:r>
          </w:p>
          <w:p w14:paraId="5D72D6A2" w14:textId="77777777" w:rsidR="00031F31" w:rsidRPr="00AC56F1" w:rsidRDefault="00031F31" w:rsidP="00031F3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Richiesta comunicazione antimafia</w:t>
            </w:r>
          </w:p>
          <w:p w14:paraId="19A0E9C8" w14:textId="77777777" w:rsidR="00031F31" w:rsidRPr="00AC56F1" w:rsidDel="00474EA0" w:rsidRDefault="00031F31" w:rsidP="00031F31">
            <w:pPr>
              <w:spacing w:after="0" w:line="240" w:lineRule="auto"/>
              <w:jc w:val="both"/>
              <w:rPr>
                <w:rFonts w:ascii="Garamond" w:eastAsia="Times New Roman" w:hAnsi="Garamond" w:cs="Times New Roman"/>
                <w:color w:val="000000"/>
                <w:lang w:eastAsia="it-IT"/>
              </w:rPr>
            </w:pPr>
            <w:r w:rsidRPr="00AC56F1">
              <w:rPr>
                <w:rFonts w:ascii="Garamond" w:eastAsia="Times New Roman" w:hAnsi="Garamond" w:cs="Times New Roman"/>
                <w:color w:val="000000"/>
                <w:lang w:eastAsia="it-IT"/>
              </w:rPr>
              <w:t>• Autocertificazione</w:t>
            </w:r>
          </w:p>
        </w:tc>
      </w:tr>
      <w:tr w:rsidR="00031F31" w:rsidRPr="00023F3C" w14:paraId="7BDDA156" w14:textId="77777777" w:rsidTr="00B277D2">
        <w:trPr>
          <w:trHeight w:val="1417"/>
        </w:trPr>
        <w:tc>
          <w:tcPr>
            <w:tcW w:w="354" w:type="pct"/>
            <w:shd w:val="clear" w:color="auto" w:fill="auto"/>
            <w:vAlign w:val="center"/>
          </w:tcPr>
          <w:p w14:paraId="2E05FABE" w14:textId="7690998D" w:rsidR="00031F31" w:rsidRDefault="004037A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371" w:type="pct"/>
            <w:shd w:val="clear" w:color="auto" w:fill="auto"/>
            <w:vAlign w:val="center"/>
          </w:tcPr>
          <w:p w14:paraId="36711BCC" w14:textId="3CFE93D4" w:rsidR="00031F31" w:rsidRPr="00023F3C"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18, comma 1, del d.lgs. 36/2023?</w:t>
            </w:r>
          </w:p>
        </w:tc>
        <w:tc>
          <w:tcPr>
            <w:tcW w:w="133" w:type="pct"/>
            <w:shd w:val="clear" w:color="auto" w:fill="auto"/>
            <w:vAlign w:val="center"/>
          </w:tcPr>
          <w:p w14:paraId="2C44339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F7C9A9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A44B36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8A2867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6511D71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4E0DC213" w14:textId="2D85120A"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00DB1EE2" w14:textId="77777777" w:rsidR="00031F31" w:rsidRPr="008E64EF" w:rsidRDefault="00031F31" w:rsidP="00031F3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031F31" w:rsidRPr="008E64EF" w:rsidRDefault="00031F31" w:rsidP="00031F3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031F31" w:rsidRPr="00023F3C" w:rsidRDefault="00031F31" w:rsidP="00031F31">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227970" w:rsidRPr="00023F3C" w14:paraId="776EB550" w14:textId="77777777" w:rsidTr="00B277D2">
        <w:trPr>
          <w:trHeight w:val="1417"/>
        </w:trPr>
        <w:tc>
          <w:tcPr>
            <w:tcW w:w="354" w:type="pct"/>
            <w:shd w:val="clear" w:color="auto" w:fill="auto"/>
            <w:vAlign w:val="center"/>
          </w:tcPr>
          <w:p w14:paraId="23BB2601" w14:textId="702A2F36" w:rsidR="00227970" w:rsidRDefault="00B1010E" w:rsidP="0022797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371" w:type="pct"/>
            <w:shd w:val="clear" w:color="auto" w:fill="auto"/>
            <w:vAlign w:val="center"/>
          </w:tcPr>
          <w:p w14:paraId="5DADBD31" w14:textId="266DD0B3" w:rsidR="00227970" w:rsidRDefault="00227970" w:rsidP="00227970">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Il contratto è stato firmato da soggetti con poteri di firma?</w:t>
            </w:r>
          </w:p>
        </w:tc>
        <w:tc>
          <w:tcPr>
            <w:tcW w:w="133" w:type="pct"/>
            <w:shd w:val="clear" w:color="auto" w:fill="auto"/>
            <w:vAlign w:val="center"/>
          </w:tcPr>
          <w:p w14:paraId="6D3FEFEB" w14:textId="77777777" w:rsidR="00227970" w:rsidRPr="00023F3C" w:rsidRDefault="00227970" w:rsidP="00227970">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8E3F285" w14:textId="77777777" w:rsidR="00227970" w:rsidRPr="00023F3C" w:rsidRDefault="00227970" w:rsidP="0022797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BDBC4BC" w14:textId="77777777" w:rsidR="00227970" w:rsidRPr="00023F3C" w:rsidRDefault="00227970" w:rsidP="00227970">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9175A21" w14:textId="77777777" w:rsidR="00227970" w:rsidRPr="00023F3C" w:rsidRDefault="00227970" w:rsidP="00227970">
            <w:pPr>
              <w:spacing w:after="0" w:line="240" w:lineRule="auto"/>
              <w:jc w:val="both"/>
              <w:rPr>
                <w:rFonts w:ascii="Garamond" w:eastAsia="Times New Roman" w:hAnsi="Garamond" w:cs="Times New Roman"/>
                <w:b/>
                <w:bCs/>
                <w:color w:val="000000"/>
                <w:lang w:eastAsia="it-IT"/>
              </w:rPr>
            </w:pPr>
          </w:p>
        </w:tc>
        <w:tc>
          <w:tcPr>
            <w:tcW w:w="662" w:type="pct"/>
          </w:tcPr>
          <w:p w14:paraId="3FE98B51" w14:textId="77777777" w:rsidR="00227970" w:rsidRPr="00023F3C" w:rsidRDefault="00227970" w:rsidP="00227970">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7D926868" w14:textId="77777777" w:rsidR="00227970" w:rsidRPr="00023F3C" w:rsidRDefault="00227970" w:rsidP="00227970">
            <w:pPr>
              <w:spacing w:after="0" w:line="240" w:lineRule="auto"/>
              <w:jc w:val="both"/>
              <w:rPr>
                <w:rFonts w:ascii="Garamond" w:eastAsia="Times New Roman" w:hAnsi="Garamond" w:cs="Times New Roman"/>
                <w:b/>
                <w:bCs/>
                <w:color w:val="000000"/>
                <w:lang w:eastAsia="it-IT"/>
              </w:rPr>
            </w:pPr>
          </w:p>
        </w:tc>
        <w:tc>
          <w:tcPr>
            <w:tcW w:w="1151" w:type="pct"/>
            <w:vAlign w:val="center"/>
          </w:tcPr>
          <w:p w14:paraId="5DEC1DFF" w14:textId="77777777" w:rsidR="00227970" w:rsidRPr="00B43450" w:rsidRDefault="00227970" w:rsidP="00227970">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Contratto</w:t>
            </w:r>
          </w:p>
          <w:p w14:paraId="4647979A" w14:textId="77777777" w:rsidR="00227970" w:rsidRPr="00B43450" w:rsidRDefault="00227970" w:rsidP="00227970">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Eventuali procure speciali</w:t>
            </w:r>
          </w:p>
          <w:p w14:paraId="438FD23A" w14:textId="77777777" w:rsidR="00227970" w:rsidRPr="00B43450" w:rsidRDefault="00227970" w:rsidP="00227970">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Visura della competente camera di commercio</w:t>
            </w:r>
          </w:p>
          <w:p w14:paraId="74BC50A5" w14:textId="7F80C865" w:rsidR="00227970" w:rsidRPr="008E64EF" w:rsidRDefault="00227970" w:rsidP="00227970">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Report esito firma digitale eventualmente apposta</w:t>
            </w:r>
          </w:p>
        </w:tc>
      </w:tr>
      <w:tr w:rsidR="00031F31" w:rsidRPr="00023F3C" w14:paraId="7B5ECDDE" w14:textId="77777777" w:rsidTr="00B277D2">
        <w:trPr>
          <w:trHeight w:val="1417"/>
        </w:trPr>
        <w:tc>
          <w:tcPr>
            <w:tcW w:w="354" w:type="pct"/>
            <w:shd w:val="clear" w:color="auto" w:fill="auto"/>
            <w:vAlign w:val="center"/>
          </w:tcPr>
          <w:p w14:paraId="625F68C1" w14:textId="58681F2D" w:rsidR="00031F31" w:rsidRDefault="00B1010E"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371" w:type="pct"/>
            <w:shd w:val="clear" w:color="auto" w:fill="auto"/>
            <w:vAlign w:val="center"/>
          </w:tcPr>
          <w:p w14:paraId="0142A5B5" w14:textId="34364329" w:rsidR="00031F31" w:rsidRPr="00023F3C"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In caso di appalti di servizi diversi da quelli di natura intellettuale nel contratto è inserita la clausola sociale ai sensi dell’art. 57 del D. Lgs. 36/2023? </w:t>
            </w:r>
          </w:p>
        </w:tc>
        <w:tc>
          <w:tcPr>
            <w:tcW w:w="133" w:type="pct"/>
            <w:shd w:val="clear" w:color="auto" w:fill="auto"/>
            <w:vAlign w:val="center"/>
          </w:tcPr>
          <w:p w14:paraId="74DBD25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02044C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0FBFD2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E2CBAF5"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p>
        </w:tc>
        <w:tc>
          <w:tcPr>
            <w:tcW w:w="662" w:type="pct"/>
          </w:tcPr>
          <w:p w14:paraId="4E722D7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50D1C66" w14:textId="1C92FFF5"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73075543" w14:textId="062C92DD"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w:t>
            </w:r>
          </w:p>
        </w:tc>
      </w:tr>
      <w:tr w:rsidR="002C0892" w:rsidRPr="00023F3C" w14:paraId="70399E05" w14:textId="77777777" w:rsidTr="00EF2646">
        <w:trPr>
          <w:trHeight w:val="1417"/>
        </w:trPr>
        <w:tc>
          <w:tcPr>
            <w:tcW w:w="354" w:type="pct"/>
            <w:shd w:val="clear" w:color="auto" w:fill="auto"/>
            <w:vAlign w:val="center"/>
          </w:tcPr>
          <w:p w14:paraId="51E5E425" w14:textId="43CA2D95" w:rsidR="002C0892" w:rsidRPr="00DF0D49" w:rsidRDefault="00B1010E" w:rsidP="002C0892">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lastRenderedPageBreak/>
              <w:t>7</w:t>
            </w:r>
          </w:p>
        </w:tc>
        <w:tc>
          <w:tcPr>
            <w:tcW w:w="1371" w:type="pct"/>
            <w:shd w:val="clear" w:color="auto" w:fill="auto"/>
            <w:vAlign w:val="center"/>
          </w:tcPr>
          <w:p w14:paraId="7B6E3322" w14:textId="44FA2EF6" w:rsidR="002C0892" w:rsidRPr="00DF0D49" w:rsidRDefault="002C0892" w:rsidP="002C0892">
            <w:pPr>
              <w:spacing w:after="0" w:line="240" w:lineRule="auto"/>
              <w:jc w:val="both"/>
              <w:rPr>
                <w:rFonts w:ascii="Garamond" w:eastAsia="Times New Roman" w:hAnsi="Garamond" w:cs="Times New Roman"/>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Appaltatore </w:t>
            </w:r>
            <w:r w:rsidRPr="00D815CE">
              <w:rPr>
                <w:rFonts w:ascii="Garamond" w:eastAsia="Times New Roman" w:hAnsi="Garamond" w:cs="Times New Roman"/>
                <w:color w:val="000000"/>
                <w:lang w:eastAsia="it-IT"/>
              </w:rPr>
              <w:t xml:space="preserve">ha costituito la “garanzia definitiva”, nel pieno rispetto di quanto previsto </w:t>
            </w:r>
            <w:r>
              <w:rPr>
                <w:rFonts w:ascii="Garamond" w:eastAsia="Times New Roman" w:hAnsi="Garamond" w:cs="Times New Roman"/>
                <w:color w:val="000000"/>
                <w:lang w:eastAsia="it-IT"/>
              </w:rPr>
              <w:t>all’art.117 e all’art. 106?</w:t>
            </w:r>
          </w:p>
        </w:tc>
        <w:tc>
          <w:tcPr>
            <w:tcW w:w="133" w:type="pct"/>
            <w:shd w:val="clear" w:color="auto" w:fill="auto"/>
            <w:vAlign w:val="center"/>
          </w:tcPr>
          <w:p w14:paraId="4DAC9B6F" w14:textId="77777777" w:rsidR="002C0892" w:rsidRPr="00DF0D49" w:rsidRDefault="002C0892" w:rsidP="002C0892">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71D3C35E" w14:textId="77777777" w:rsidR="002C0892" w:rsidRPr="00DF0D49" w:rsidRDefault="002C0892" w:rsidP="002C0892">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63FAE961" w14:textId="77777777" w:rsidR="002C0892" w:rsidRPr="00DF0D49" w:rsidRDefault="002C0892" w:rsidP="002C0892">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2BD80E5F" w14:textId="77777777" w:rsidR="002C0892" w:rsidRPr="00DF0D49" w:rsidRDefault="002C0892" w:rsidP="002C0892">
            <w:pPr>
              <w:spacing w:after="0" w:line="240" w:lineRule="auto"/>
              <w:jc w:val="both"/>
              <w:rPr>
                <w:rFonts w:ascii="Garamond" w:eastAsia="Times New Roman" w:hAnsi="Garamond" w:cs="Times New Roman"/>
                <w:lang w:eastAsia="it-IT"/>
              </w:rPr>
            </w:pPr>
          </w:p>
        </w:tc>
        <w:tc>
          <w:tcPr>
            <w:tcW w:w="662" w:type="pct"/>
            <w:vAlign w:val="center"/>
          </w:tcPr>
          <w:p w14:paraId="1AAC2E14" w14:textId="77777777" w:rsidR="002C0892" w:rsidRPr="00662137" w:rsidRDefault="002C0892" w:rsidP="002C0892">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vAlign w:val="center"/>
          </w:tcPr>
          <w:p w14:paraId="5A706764" w14:textId="77777777" w:rsidR="002C0892" w:rsidRPr="00DF0D49" w:rsidRDefault="002C0892" w:rsidP="002C0892">
            <w:pPr>
              <w:spacing w:after="0" w:line="240" w:lineRule="auto"/>
              <w:jc w:val="both"/>
              <w:rPr>
                <w:rFonts w:ascii="Garamond" w:eastAsia="Times New Roman" w:hAnsi="Garamond" w:cs="Times New Roman"/>
                <w:b/>
                <w:bCs/>
                <w:lang w:eastAsia="it-IT"/>
              </w:rPr>
            </w:pPr>
          </w:p>
        </w:tc>
        <w:tc>
          <w:tcPr>
            <w:tcW w:w="1151" w:type="pct"/>
            <w:vAlign w:val="center"/>
          </w:tcPr>
          <w:p w14:paraId="253B5506" w14:textId="4CE8656A" w:rsidR="002C0892" w:rsidRPr="00DF0D49" w:rsidRDefault="002C0892" w:rsidP="002C0892">
            <w:pPr>
              <w:spacing w:after="0" w:line="240" w:lineRule="auto"/>
              <w:jc w:val="both"/>
              <w:rPr>
                <w:rFonts w:ascii="Garamond" w:eastAsia="Times New Roman" w:hAnsi="Garamond" w:cs="Times New Roman"/>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definitiva</w:t>
            </w:r>
          </w:p>
        </w:tc>
      </w:tr>
      <w:tr w:rsidR="002C0892" w:rsidRPr="00023F3C" w14:paraId="4B15712E" w14:textId="77777777" w:rsidTr="00EF2646">
        <w:trPr>
          <w:trHeight w:val="1417"/>
        </w:trPr>
        <w:tc>
          <w:tcPr>
            <w:tcW w:w="354" w:type="pct"/>
            <w:shd w:val="clear" w:color="auto" w:fill="auto"/>
            <w:vAlign w:val="center"/>
          </w:tcPr>
          <w:p w14:paraId="6BF3085E" w14:textId="40EDFAA2" w:rsidR="002C0892" w:rsidRPr="00DF0D49" w:rsidRDefault="00B1010E" w:rsidP="002C0892">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8</w:t>
            </w:r>
          </w:p>
        </w:tc>
        <w:tc>
          <w:tcPr>
            <w:tcW w:w="1371" w:type="pct"/>
            <w:shd w:val="clear" w:color="auto" w:fill="auto"/>
            <w:vAlign w:val="center"/>
          </w:tcPr>
          <w:p w14:paraId="07E267DD" w14:textId="77777777" w:rsidR="002C0892" w:rsidRDefault="002C0892" w:rsidP="002C0892">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Laddove la Stazione Appaltante si sia avvalsa della facoltà di esonero della garanzia definitiva ai sensi dell’art. 117, comma 14, del D. Lgs. 36/2023, ha:</w:t>
            </w:r>
          </w:p>
          <w:p w14:paraId="317A3C88" w14:textId="77777777" w:rsidR="004037A1" w:rsidRDefault="002C0892" w:rsidP="004037A1">
            <w:pPr>
              <w:pStyle w:val="ListParagraph"/>
              <w:numPr>
                <w:ilvl w:val="0"/>
                <w:numId w:val="36"/>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t>debitamente motivat</w:t>
            </w:r>
            <w:r>
              <w:rPr>
                <w:rFonts w:ascii="Garamond" w:eastAsia="Times New Roman" w:hAnsi="Garamond" w:cs="Times New Roman"/>
                <w:color w:val="000000"/>
                <w:lang w:eastAsia="it-IT"/>
              </w:rPr>
              <w:t>o ai sensi del comma 14 dell’art. 117 del D. Lgs. 36/2023</w:t>
            </w:r>
            <w:r w:rsidRPr="00547616">
              <w:rPr>
                <w:rFonts w:ascii="Garamond" w:eastAsia="Times New Roman" w:hAnsi="Garamond" w:cs="Times New Roman"/>
                <w:color w:val="000000"/>
                <w:lang w:eastAsia="it-IT"/>
              </w:rPr>
              <w:t>?</w:t>
            </w:r>
          </w:p>
          <w:p w14:paraId="6594E1BA" w14:textId="1D7F234F" w:rsidR="002C0892" w:rsidRPr="004037A1" w:rsidRDefault="002C0892" w:rsidP="004037A1">
            <w:pPr>
              <w:pStyle w:val="ListParagraph"/>
              <w:numPr>
                <w:ilvl w:val="0"/>
                <w:numId w:val="36"/>
              </w:numPr>
              <w:spacing w:before="120" w:after="120"/>
              <w:jc w:val="both"/>
              <w:rPr>
                <w:rFonts w:ascii="Garamond" w:eastAsia="Times New Roman" w:hAnsi="Garamond" w:cs="Times New Roman"/>
                <w:color w:val="000000"/>
                <w:lang w:eastAsia="it-IT"/>
              </w:rPr>
            </w:pPr>
            <w:r w:rsidRPr="004037A1">
              <w:rPr>
                <w:rFonts w:ascii="Garamond" w:eastAsia="Times New Roman" w:hAnsi="Garamond" w:cs="Times New Roman"/>
                <w:color w:val="000000"/>
                <w:lang w:eastAsia="it-IT"/>
              </w:rPr>
              <w:t>subordinato l’esonero al miglioramento del prezzo di aggiudicazione ovvero delle condizioni di esecuzione?</w:t>
            </w:r>
          </w:p>
        </w:tc>
        <w:tc>
          <w:tcPr>
            <w:tcW w:w="133" w:type="pct"/>
            <w:shd w:val="clear" w:color="auto" w:fill="auto"/>
            <w:vAlign w:val="center"/>
          </w:tcPr>
          <w:p w14:paraId="1BA485D9" w14:textId="77777777" w:rsidR="002C0892" w:rsidRPr="00DF0D49" w:rsidRDefault="002C0892" w:rsidP="002C0892">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11AF912E" w14:textId="77777777" w:rsidR="002C0892" w:rsidRPr="00DF0D49" w:rsidRDefault="002C0892" w:rsidP="002C0892">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17613FCB" w14:textId="77777777" w:rsidR="002C0892" w:rsidRPr="00DF0D49" w:rsidRDefault="002C0892" w:rsidP="002C0892">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08D91D6D" w14:textId="77777777" w:rsidR="002C0892" w:rsidRPr="00DF0D49" w:rsidRDefault="002C0892" w:rsidP="002C0892">
            <w:pPr>
              <w:spacing w:after="0" w:line="240" w:lineRule="auto"/>
              <w:jc w:val="both"/>
              <w:rPr>
                <w:rFonts w:ascii="Garamond" w:eastAsia="Times New Roman" w:hAnsi="Garamond" w:cs="Times New Roman"/>
                <w:lang w:eastAsia="it-IT"/>
              </w:rPr>
            </w:pPr>
          </w:p>
        </w:tc>
        <w:tc>
          <w:tcPr>
            <w:tcW w:w="662" w:type="pct"/>
            <w:vAlign w:val="center"/>
          </w:tcPr>
          <w:p w14:paraId="0C4A8770" w14:textId="77777777" w:rsidR="002C0892" w:rsidRPr="00662137" w:rsidRDefault="002C0892" w:rsidP="002C0892">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vAlign w:val="center"/>
          </w:tcPr>
          <w:p w14:paraId="223A86F1" w14:textId="77777777" w:rsidR="002C0892" w:rsidRPr="00DF0D49" w:rsidRDefault="002C0892" w:rsidP="002C0892">
            <w:pPr>
              <w:spacing w:after="0" w:line="240" w:lineRule="auto"/>
              <w:jc w:val="both"/>
              <w:rPr>
                <w:rFonts w:ascii="Garamond" w:eastAsia="Times New Roman" w:hAnsi="Garamond" w:cs="Times New Roman"/>
                <w:b/>
                <w:bCs/>
                <w:lang w:eastAsia="it-IT"/>
              </w:rPr>
            </w:pPr>
          </w:p>
        </w:tc>
        <w:tc>
          <w:tcPr>
            <w:tcW w:w="1151" w:type="pct"/>
            <w:vAlign w:val="center"/>
          </w:tcPr>
          <w:p w14:paraId="0636CCCE" w14:textId="77777777" w:rsidR="002C0892" w:rsidRDefault="002C0892" w:rsidP="002C08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7F5BB281" w14:textId="77777777" w:rsidR="002C0892" w:rsidRDefault="002C0892" w:rsidP="002C0892">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3A578851" w14:textId="77777777" w:rsidR="002C0892" w:rsidRPr="00DF0D49" w:rsidRDefault="002C0892" w:rsidP="002C0892">
            <w:pPr>
              <w:spacing w:after="0" w:line="240" w:lineRule="auto"/>
              <w:jc w:val="both"/>
              <w:rPr>
                <w:rFonts w:ascii="Garamond" w:eastAsia="Times New Roman" w:hAnsi="Garamond" w:cs="Times New Roman"/>
                <w:lang w:eastAsia="it-IT"/>
              </w:rPr>
            </w:pPr>
          </w:p>
        </w:tc>
      </w:tr>
      <w:tr w:rsidR="00031F31" w:rsidRPr="00023F3C" w14:paraId="0FFAD47C" w14:textId="77777777" w:rsidTr="00B277D2">
        <w:trPr>
          <w:trHeight w:val="1417"/>
        </w:trPr>
        <w:tc>
          <w:tcPr>
            <w:tcW w:w="354" w:type="pct"/>
            <w:shd w:val="clear" w:color="auto" w:fill="auto"/>
            <w:vAlign w:val="center"/>
          </w:tcPr>
          <w:p w14:paraId="2E7750FD" w14:textId="2F39462B" w:rsidR="00031F31" w:rsidRPr="00DF0D49" w:rsidRDefault="00B1010E" w:rsidP="00031F31">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9</w:t>
            </w:r>
          </w:p>
        </w:tc>
        <w:tc>
          <w:tcPr>
            <w:tcW w:w="1371" w:type="pct"/>
            <w:shd w:val="clear" w:color="auto" w:fill="auto"/>
            <w:vAlign w:val="center"/>
          </w:tcPr>
          <w:p w14:paraId="326AB495" w14:textId="3D394930" w:rsidR="00031F31" w:rsidRPr="00DF0D49" w:rsidRDefault="00031F31" w:rsidP="00031F31">
            <w:pPr>
              <w:spacing w:after="0" w:line="240" w:lineRule="auto"/>
              <w:jc w:val="both"/>
              <w:rPr>
                <w:rFonts w:ascii="Garamond" w:eastAsia="Times New Roman" w:hAnsi="Garamond" w:cs="Times New Roman"/>
                <w:lang w:eastAsia="it-IT"/>
              </w:rPr>
            </w:pPr>
            <w:r w:rsidRPr="00DF0D49">
              <w:rPr>
                <w:rFonts w:ascii="Garamond" w:eastAsia="Times New Roman" w:hAnsi="Garamond" w:cs="Times New Roman"/>
                <w:lang w:eastAsia="it-IT"/>
              </w:rPr>
              <w:t xml:space="preserve">La misura delle penali previste per il ritardo nell’esecuzione delle prestazioni contrattuali è stata fissata nel rispetto di quanto stabilito dall’art. 126 del </w:t>
            </w:r>
            <w:r>
              <w:rPr>
                <w:rFonts w:ascii="Garamond" w:eastAsia="Times New Roman" w:hAnsi="Garamond" w:cs="Times New Roman"/>
                <w:lang w:eastAsia="it-IT"/>
              </w:rPr>
              <w:t>D</w:t>
            </w:r>
            <w:r w:rsidRPr="00DF0D49">
              <w:rPr>
                <w:rFonts w:ascii="Garamond" w:eastAsia="Times New Roman" w:hAnsi="Garamond" w:cs="Times New Roman"/>
                <w:lang w:eastAsia="it-IT"/>
              </w:rPr>
              <w:t>.</w:t>
            </w:r>
            <w:r>
              <w:rPr>
                <w:rFonts w:ascii="Garamond" w:eastAsia="Times New Roman" w:hAnsi="Garamond" w:cs="Times New Roman"/>
                <w:lang w:eastAsia="it-IT"/>
              </w:rPr>
              <w:t xml:space="preserve"> L</w:t>
            </w:r>
            <w:r w:rsidRPr="00DF0D49">
              <w:rPr>
                <w:rFonts w:ascii="Garamond" w:eastAsia="Times New Roman" w:hAnsi="Garamond" w:cs="Times New Roman"/>
                <w:lang w:eastAsia="it-IT"/>
              </w:rPr>
              <w:t>gs. 36/2023?</w:t>
            </w:r>
          </w:p>
        </w:tc>
        <w:tc>
          <w:tcPr>
            <w:tcW w:w="133" w:type="pct"/>
            <w:shd w:val="clear" w:color="auto" w:fill="auto"/>
            <w:vAlign w:val="center"/>
          </w:tcPr>
          <w:p w14:paraId="429E7439" w14:textId="77777777" w:rsidR="00031F31" w:rsidRPr="00DF0D49" w:rsidRDefault="00031F31" w:rsidP="00031F31">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53DD7C1B" w14:textId="77777777" w:rsidR="00031F31" w:rsidRPr="00DF0D49" w:rsidRDefault="00031F31" w:rsidP="00031F31">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72EF09FF" w14:textId="77777777" w:rsidR="00031F31" w:rsidRPr="00DF0D49" w:rsidRDefault="00031F31" w:rsidP="00031F31">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575F74F2" w14:textId="77777777" w:rsidR="00031F31" w:rsidRPr="00DF0D49" w:rsidRDefault="00031F31" w:rsidP="00031F31">
            <w:pPr>
              <w:spacing w:after="0" w:line="240" w:lineRule="auto"/>
              <w:jc w:val="both"/>
              <w:rPr>
                <w:rFonts w:ascii="Garamond" w:eastAsia="Times New Roman" w:hAnsi="Garamond" w:cs="Times New Roman"/>
                <w:lang w:eastAsia="it-IT"/>
              </w:rPr>
            </w:pPr>
          </w:p>
        </w:tc>
        <w:tc>
          <w:tcPr>
            <w:tcW w:w="662" w:type="pct"/>
          </w:tcPr>
          <w:p w14:paraId="041644C1" w14:textId="4C604115" w:rsidR="00031F31" w:rsidRPr="00DF0D49" w:rsidRDefault="00031F31" w:rsidP="00031F31">
            <w:pPr>
              <w:spacing w:after="0" w:line="240" w:lineRule="auto"/>
              <w:jc w:val="both"/>
              <w:rPr>
                <w:rFonts w:ascii="Garamond" w:eastAsia="Times New Roman" w:hAnsi="Garamond" w:cs="Times New Roman"/>
                <w:b/>
                <w:bCs/>
                <w:lang w:eastAsia="it-IT"/>
              </w:rPr>
            </w:pPr>
            <w:r w:rsidRPr="00662137">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B</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 xml:space="preserve"> </w:t>
            </w:r>
            <w:r w:rsidRPr="00E67DD2">
              <w:rPr>
                <w:rFonts w:ascii="Garamond" w:eastAsia="Times New Roman" w:hAnsi="Garamond" w:cs="Times New Roman"/>
                <w:color w:val="2F5496" w:themeColor="accent1" w:themeShade="BF"/>
                <w:lang w:eastAsia="it-IT"/>
              </w:rPr>
              <w:t>A partire dal 31 gennaio 2024, il</w:t>
            </w:r>
            <w:r w:rsidRPr="00662137">
              <w:rPr>
                <w:rFonts w:ascii="Garamond" w:eastAsia="Times New Roman" w:hAnsi="Garamond" w:cs="Times New Roman"/>
                <w:color w:val="2F5496" w:themeColor="accent1" w:themeShade="BF"/>
                <w:lang w:eastAsia="it-IT"/>
              </w:rPr>
              <w:t xml:space="preserve"> tetto delle penali è stato modificato prevedendo una soglia compresa tra lo 0,5 per mille e l’1, 5 per mille.  </w:t>
            </w:r>
          </w:p>
        </w:tc>
        <w:tc>
          <w:tcPr>
            <w:tcW w:w="399" w:type="pct"/>
            <w:shd w:val="clear" w:color="auto" w:fill="auto"/>
            <w:vAlign w:val="center"/>
          </w:tcPr>
          <w:p w14:paraId="6558559C" w14:textId="77777777" w:rsidR="00031F31" w:rsidRPr="00DF0D49" w:rsidRDefault="00031F31" w:rsidP="00031F31">
            <w:pPr>
              <w:spacing w:after="0" w:line="240" w:lineRule="auto"/>
              <w:jc w:val="both"/>
              <w:rPr>
                <w:rFonts w:ascii="Garamond" w:eastAsia="Times New Roman" w:hAnsi="Garamond" w:cs="Times New Roman"/>
                <w:b/>
                <w:bCs/>
                <w:lang w:eastAsia="it-IT"/>
              </w:rPr>
            </w:pPr>
          </w:p>
        </w:tc>
        <w:tc>
          <w:tcPr>
            <w:tcW w:w="1151" w:type="pct"/>
            <w:vAlign w:val="center"/>
          </w:tcPr>
          <w:p w14:paraId="738472DD" w14:textId="77777777" w:rsidR="00031F31" w:rsidRPr="00DF0D49" w:rsidRDefault="00031F31" w:rsidP="00031F31">
            <w:pPr>
              <w:spacing w:after="0" w:line="240" w:lineRule="auto"/>
              <w:jc w:val="both"/>
              <w:rPr>
                <w:rFonts w:ascii="Garamond" w:eastAsia="Times New Roman" w:hAnsi="Garamond" w:cs="Times New Roman"/>
                <w:lang w:eastAsia="it-IT"/>
              </w:rPr>
            </w:pPr>
            <w:r w:rsidRPr="00DF0D49">
              <w:rPr>
                <w:rFonts w:ascii="Garamond" w:eastAsia="Times New Roman" w:hAnsi="Garamond" w:cs="Times New Roman"/>
                <w:lang w:eastAsia="it-IT"/>
              </w:rPr>
              <w:t>• Contratto</w:t>
            </w:r>
          </w:p>
          <w:p w14:paraId="08D9360A" w14:textId="77777777" w:rsidR="00031F31" w:rsidRPr="00DF0D49" w:rsidRDefault="00031F31" w:rsidP="00031F31">
            <w:pPr>
              <w:spacing w:after="0" w:line="240" w:lineRule="auto"/>
              <w:jc w:val="both"/>
              <w:rPr>
                <w:rFonts w:ascii="Garamond" w:eastAsia="Times New Roman" w:hAnsi="Garamond" w:cs="Times New Roman"/>
                <w:lang w:eastAsia="it-IT"/>
              </w:rPr>
            </w:pPr>
          </w:p>
        </w:tc>
      </w:tr>
      <w:tr w:rsidR="00031F31" w:rsidRPr="00023F3C" w14:paraId="5E447A1C" w14:textId="77777777" w:rsidTr="00B277D2">
        <w:trPr>
          <w:trHeight w:val="1417"/>
        </w:trPr>
        <w:tc>
          <w:tcPr>
            <w:tcW w:w="354" w:type="pct"/>
            <w:shd w:val="clear" w:color="auto" w:fill="auto"/>
            <w:vAlign w:val="center"/>
          </w:tcPr>
          <w:p w14:paraId="7E1C5AD9" w14:textId="1D68888A" w:rsidR="00031F31" w:rsidRDefault="00B1010E"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371" w:type="pct"/>
            <w:shd w:val="clear" w:color="auto" w:fill="auto"/>
            <w:vAlign w:val="center"/>
          </w:tcPr>
          <w:p w14:paraId="20D62E92" w14:textId="1A05EF31" w:rsidR="00031F31" w:rsidRPr="00023F3C"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durata contrattuale </w:t>
            </w:r>
            <w:r w:rsidRPr="00023F3C">
              <w:rPr>
                <w:rFonts w:ascii="Garamond" w:eastAsia="Times New Roman" w:hAnsi="Garamond" w:cs="Times New Roman"/>
                <w:color w:val="000000"/>
                <w:lang w:eastAsia="it-IT"/>
              </w:rPr>
              <w:t>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33" w:type="pct"/>
            <w:shd w:val="clear" w:color="auto" w:fill="auto"/>
            <w:vAlign w:val="center"/>
          </w:tcPr>
          <w:p w14:paraId="53C562F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6719177"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5DE65AD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938F247"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120507A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48B382C1" w14:textId="599A5D95"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29AC14B6"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031F31"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031F31"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031F31" w:rsidRPr="00023F3C" w:rsidRDefault="00031F31" w:rsidP="00031F31">
            <w:pPr>
              <w:spacing w:after="0" w:line="240" w:lineRule="auto"/>
              <w:jc w:val="both"/>
              <w:rPr>
                <w:rFonts w:ascii="Garamond" w:eastAsia="Times New Roman" w:hAnsi="Garamond" w:cs="Times New Roman"/>
                <w:color w:val="000000"/>
                <w:lang w:eastAsia="it-IT"/>
              </w:rPr>
            </w:pPr>
          </w:p>
        </w:tc>
      </w:tr>
      <w:tr w:rsidR="00F20E91" w:rsidRPr="00023F3C" w14:paraId="71A7998D" w14:textId="77777777" w:rsidTr="000F2371">
        <w:trPr>
          <w:trHeight w:val="1417"/>
        </w:trPr>
        <w:tc>
          <w:tcPr>
            <w:tcW w:w="354" w:type="pct"/>
            <w:shd w:val="clear" w:color="auto" w:fill="auto"/>
            <w:vAlign w:val="center"/>
          </w:tcPr>
          <w:p w14:paraId="6A6B3674" w14:textId="3D58CEB0" w:rsidR="00F20E91" w:rsidRDefault="00F20E91" w:rsidP="00F20E9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B01A7C">
              <w:rPr>
                <w:rFonts w:ascii="Garamond" w:eastAsia="Times New Roman" w:hAnsi="Garamond" w:cs="Times New Roman"/>
                <w:color w:val="000000"/>
                <w:lang w:eastAsia="it-IT"/>
              </w:rPr>
              <w:t>1</w:t>
            </w:r>
          </w:p>
        </w:tc>
        <w:tc>
          <w:tcPr>
            <w:tcW w:w="1371" w:type="pct"/>
            <w:shd w:val="clear" w:color="auto" w:fill="auto"/>
            <w:vAlign w:val="center"/>
          </w:tcPr>
          <w:p w14:paraId="2E1502D1" w14:textId="08772E32" w:rsidR="00F20E91" w:rsidRDefault="00F20E91" w:rsidP="00F20E9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125, comma 1, del D. Lgs. 36/2023?</w:t>
            </w:r>
          </w:p>
          <w:p w14:paraId="7719DD5F" w14:textId="77777777" w:rsidR="00F20E91" w:rsidRPr="00D815CE" w:rsidRDefault="00F20E91" w:rsidP="00F20E91">
            <w:pPr>
              <w:spacing w:after="0" w:line="240" w:lineRule="auto"/>
              <w:jc w:val="both"/>
              <w:rPr>
                <w:rFonts w:ascii="Garamond" w:eastAsia="Times New Roman" w:hAnsi="Garamond" w:cs="Times New Roman"/>
                <w:color w:val="000000"/>
                <w:lang w:eastAsia="it-IT"/>
              </w:rPr>
            </w:pPr>
          </w:p>
        </w:tc>
        <w:tc>
          <w:tcPr>
            <w:tcW w:w="133" w:type="pct"/>
            <w:shd w:val="clear" w:color="auto" w:fill="auto"/>
            <w:vAlign w:val="center"/>
          </w:tcPr>
          <w:p w14:paraId="364E705C" w14:textId="77777777" w:rsidR="00F20E91" w:rsidRPr="00023F3C" w:rsidRDefault="00F20E91" w:rsidP="00F20E9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A395428" w14:textId="77777777" w:rsidR="00F20E91" w:rsidRPr="00023F3C" w:rsidRDefault="00F20E91" w:rsidP="00F20E9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45E8177" w14:textId="77777777" w:rsidR="00F20E91" w:rsidRPr="00023F3C" w:rsidRDefault="00F20E91" w:rsidP="00F20E9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8995A51" w14:textId="77777777" w:rsidR="00F20E91" w:rsidRPr="00023F3C" w:rsidRDefault="00F20E91" w:rsidP="00F20E91">
            <w:pPr>
              <w:spacing w:after="0" w:line="240" w:lineRule="auto"/>
              <w:jc w:val="both"/>
              <w:rPr>
                <w:rFonts w:ascii="Garamond" w:eastAsia="Times New Roman" w:hAnsi="Garamond" w:cs="Times New Roman"/>
                <w:b/>
                <w:bCs/>
                <w:color w:val="000000"/>
                <w:lang w:eastAsia="it-IT"/>
              </w:rPr>
            </w:pPr>
          </w:p>
        </w:tc>
        <w:tc>
          <w:tcPr>
            <w:tcW w:w="662" w:type="pct"/>
            <w:vAlign w:val="center"/>
          </w:tcPr>
          <w:p w14:paraId="12503F58" w14:textId="18F66755" w:rsidR="00F20E91" w:rsidRPr="00023F3C" w:rsidRDefault="00F20E91" w:rsidP="00F20E91">
            <w:pPr>
              <w:spacing w:after="0" w:line="240" w:lineRule="auto"/>
              <w:jc w:val="both"/>
              <w:rPr>
                <w:rFonts w:ascii="Garamond" w:eastAsia="Times New Roman" w:hAnsi="Garamond" w:cs="Times New Roman"/>
                <w:b/>
                <w:bCs/>
                <w:color w:val="000000"/>
                <w:lang w:eastAsia="it-IT"/>
              </w:rPr>
            </w:pPr>
            <w:r w:rsidRPr="009522B0">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B. A partire dal 31 gennaio 2024</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 xml:space="preserve"> l’importo dell’anticipaz</w:t>
            </w:r>
            <w:r>
              <w:rPr>
                <w:rFonts w:ascii="Garamond" w:eastAsia="Times New Roman" w:hAnsi="Garamond" w:cs="Times New Roman"/>
                <w:color w:val="2F5496" w:themeColor="accent1" w:themeShade="BF"/>
                <w:lang w:eastAsia="it-IT"/>
              </w:rPr>
              <w:t xml:space="preserve">ione </w:t>
            </w:r>
            <w:r w:rsidRPr="00D20BD2">
              <w:rPr>
                <w:rFonts w:ascii="Garamond" w:eastAsia="Times New Roman" w:hAnsi="Garamond" w:cs="Times New Roman"/>
                <w:color w:val="2F5496" w:themeColor="accent1" w:themeShade="BF"/>
                <w:lang w:eastAsia="it-IT"/>
              </w:rPr>
              <w:t>è corrisposta all'</w:t>
            </w:r>
            <w:r>
              <w:rPr>
                <w:rFonts w:ascii="Garamond" w:eastAsia="Times New Roman" w:hAnsi="Garamond" w:cs="Times New Roman"/>
                <w:color w:val="2F5496" w:themeColor="accent1" w:themeShade="BF"/>
                <w:lang w:eastAsia="it-IT"/>
              </w:rPr>
              <w:t>Appaltatore</w:t>
            </w:r>
            <w:r w:rsidRPr="00D20BD2">
              <w:rPr>
                <w:rFonts w:ascii="Garamond" w:eastAsia="Times New Roman" w:hAnsi="Garamond" w:cs="Times New Roman"/>
                <w:color w:val="2F5496" w:themeColor="accent1" w:themeShade="BF"/>
                <w:lang w:eastAsia="it-IT"/>
              </w:rPr>
              <w:t xml:space="preserve"> entro quindici giorni dall'effettivo inizio della prestazione.</w:t>
            </w:r>
            <w:r>
              <w:rPr>
                <w:rFonts w:ascii="Garamond" w:eastAsia="Times New Roman" w:hAnsi="Garamond" w:cs="Times New Roman"/>
                <w:color w:val="2F5496" w:themeColor="accent1" w:themeShade="BF"/>
                <w:lang w:eastAsia="it-IT"/>
              </w:rPr>
              <w:t xml:space="preserve"> Inoltre, p</w:t>
            </w:r>
            <w:r w:rsidRPr="00D20BD2">
              <w:rPr>
                <w:rFonts w:ascii="Garamond" w:eastAsia="Times New Roman" w:hAnsi="Garamond" w:cs="Times New Roman"/>
                <w:color w:val="2F5496" w:themeColor="accent1" w:themeShade="BF"/>
                <w:lang w:eastAsia="it-IT"/>
              </w:rPr>
              <w:t xml:space="preserve">er i contratti di importo superiore a 500 milioni di euro, l'anticipazione è corrisposta nel rispetto delle scadenze definite nel contratto, tenuto conto del cronoprogramma delle attività. </w:t>
            </w:r>
          </w:p>
        </w:tc>
        <w:tc>
          <w:tcPr>
            <w:tcW w:w="399" w:type="pct"/>
            <w:shd w:val="clear" w:color="auto" w:fill="auto"/>
            <w:vAlign w:val="center"/>
          </w:tcPr>
          <w:p w14:paraId="6E2AB615" w14:textId="7AC929A9" w:rsidR="00F20E91" w:rsidRPr="00023F3C" w:rsidRDefault="00F20E91" w:rsidP="00F20E91">
            <w:pPr>
              <w:spacing w:after="0" w:line="240" w:lineRule="auto"/>
              <w:jc w:val="both"/>
              <w:rPr>
                <w:rFonts w:ascii="Garamond" w:eastAsia="Times New Roman" w:hAnsi="Garamond" w:cs="Times New Roman"/>
                <w:b/>
                <w:bCs/>
                <w:color w:val="000000"/>
                <w:lang w:eastAsia="it-IT"/>
              </w:rPr>
            </w:pPr>
          </w:p>
        </w:tc>
        <w:tc>
          <w:tcPr>
            <w:tcW w:w="1151" w:type="pct"/>
            <w:vAlign w:val="center"/>
          </w:tcPr>
          <w:p w14:paraId="271F2A54" w14:textId="363A73BD" w:rsidR="00F20E91" w:rsidRPr="00522B0F" w:rsidRDefault="00F20E91" w:rsidP="00F20E9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031F31" w:rsidRPr="00023F3C" w14:paraId="0804F422" w14:textId="77777777" w:rsidTr="00B277D2">
        <w:trPr>
          <w:trHeight w:val="605"/>
        </w:trPr>
        <w:tc>
          <w:tcPr>
            <w:tcW w:w="354" w:type="pct"/>
            <w:shd w:val="clear" w:color="auto" w:fill="auto"/>
            <w:vAlign w:val="center"/>
          </w:tcPr>
          <w:p w14:paraId="45BAA98A" w14:textId="3990215E" w:rsidR="00031F31" w:rsidRPr="00023F3C"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01A7C">
              <w:rPr>
                <w:rFonts w:ascii="Garamond" w:eastAsia="Times New Roman" w:hAnsi="Garamond" w:cs="Times New Roman"/>
                <w:color w:val="000000"/>
                <w:lang w:eastAsia="it-IT"/>
              </w:rPr>
              <w:t>2</w:t>
            </w:r>
          </w:p>
        </w:tc>
        <w:tc>
          <w:tcPr>
            <w:tcW w:w="1371" w:type="pct"/>
            <w:shd w:val="clear" w:color="auto" w:fill="auto"/>
            <w:vAlign w:val="center"/>
          </w:tcPr>
          <w:p w14:paraId="2506DB97" w14:textId="6055FFFC" w:rsidR="00031F31" w:rsidRPr="00023F3C" w:rsidRDefault="00031F31" w:rsidP="00031F3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Nel contratto di appalto, subappalto e in quelli stipulati con i subcontraenti della filiera delle imprese a qualsiasi titolo interessate è stata prevista un’apposita clausola con la quale l’</w:t>
            </w:r>
            <w:r>
              <w:rPr>
                <w:rFonts w:ascii="Garamond" w:eastAsia="Times New Roman" w:hAnsi="Garamond" w:cs="Times New Roman"/>
                <w:color w:val="000000"/>
                <w:lang w:eastAsia="it-IT"/>
              </w:rPr>
              <w:t>Appaltatore</w:t>
            </w:r>
            <w:r w:rsidRPr="00023F3C">
              <w:rPr>
                <w:rFonts w:ascii="Garamond" w:eastAsia="Times New Roman" w:hAnsi="Garamond" w:cs="Times New Roman"/>
                <w:color w:val="000000"/>
                <w:lang w:eastAsia="it-IT"/>
              </w:rPr>
              <w:t xml:space="preserve"> si assume gli obblighi di tracciabilità dei flussi finanziari dì cui alla legge 136/2010? </w:t>
            </w:r>
          </w:p>
        </w:tc>
        <w:tc>
          <w:tcPr>
            <w:tcW w:w="133" w:type="pct"/>
            <w:shd w:val="clear" w:color="auto" w:fill="auto"/>
            <w:vAlign w:val="center"/>
          </w:tcPr>
          <w:p w14:paraId="1322FC23"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02F7AB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884B56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630C76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6A101A18"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685D914D" w14:textId="472B7ABA"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689C3899" w14:textId="77777777" w:rsidR="00031F31"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031F31" w:rsidRPr="00023F3C" w:rsidRDefault="00031F31" w:rsidP="00031F31">
            <w:pPr>
              <w:spacing w:after="0" w:line="240" w:lineRule="auto"/>
              <w:jc w:val="both"/>
              <w:rPr>
                <w:rFonts w:ascii="Garamond" w:eastAsia="Times New Roman" w:hAnsi="Garamond" w:cs="Times New Roman"/>
                <w:color w:val="000000"/>
                <w:lang w:eastAsia="it-IT"/>
              </w:rPr>
            </w:pPr>
          </w:p>
        </w:tc>
      </w:tr>
      <w:tr w:rsidR="00031F31" w:rsidRPr="00023F3C" w14:paraId="78D43E92" w14:textId="77777777" w:rsidTr="00F20E91">
        <w:trPr>
          <w:trHeight w:val="799"/>
        </w:trPr>
        <w:tc>
          <w:tcPr>
            <w:tcW w:w="354" w:type="pct"/>
            <w:shd w:val="clear" w:color="auto" w:fill="B4C6E7" w:themeFill="accent1" w:themeFillTint="66"/>
            <w:vAlign w:val="center"/>
          </w:tcPr>
          <w:p w14:paraId="41166B55" w14:textId="77777777" w:rsidR="00031F31" w:rsidRPr="00372ED6" w:rsidRDefault="00031F31" w:rsidP="00031F31">
            <w:pPr>
              <w:spacing w:after="0" w:line="240" w:lineRule="auto"/>
              <w:jc w:val="center"/>
              <w:rPr>
                <w:rFonts w:ascii="Garamond" w:eastAsia="Times New Roman" w:hAnsi="Garamond" w:cs="Times New Roman"/>
                <w:b/>
                <w:bCs/>
                <w:color w:val="000000"/>
                <w:lang w:eastAsia="it-IT"/>
              </w:rPr>
            </w:pPr>
            <w:r w:rsidRPr="00372ED6">
              <w:rPr>
                <w:rFonts w:ascii="Garamond" w:eastAsia="Times New Roman" w:hAnsi="Garamond" w:cs="Times New Roman"/>
                <w:b/>
                <w:bCs/>
                <w:color w:val="000000"/>
                <w:lang w:eastAsia="it-IT"/>
              </w:rPr>
              <w:t>I</w:t>
            </w:r>
          </w:p>
        </w:tc>
        <w:tc>
          <w:tcPr>
            <w:tcW w:w="4646" w:type="pct"/>
            <w:gridSpan w:val="8"/>
            <w:shd w:val="clear" w:color="auto" w:fill="B4C6E7" w:themeFill="accent1" w:themeFillTint="66"/>
            <w:vAlign w:val="center"/>
          </w:tcPr>
          <w:p w14:paraId="3BAD0CE3" w14:textId="72E6F890" w:rsidR="00031F31" w:rsidRPr="00522B0F" w:rsidRDefault="00031F31" w:rsidP="00031F31">
            <w:pPr>
              <w:spacing w:after="0" w:line="240" w:lineRule="auto"/>
              <w:jc w:val="center"/>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Esecuzione e varianti</w:t>
            </w:r>
          </w:p>
        </w:tc>
      </w:tr>
      <w:tr w:rsidR="00031F31" w:rsidRPr="00023F3C" w14:paraId="44DD17A0" w14:textId="77777777" w:rsidTr="00B277D2">
        <w:trPr>
          <w:trHeight w:val="605"/>
        </w:trPr>
        <w:tc>
          <w:tcPr>
            <w:tcW w:w="354" w:type="pct"/>
            <w:shd w:val="clear" w:color="auto" w:fill="auto"/>
            <w:vAlign w:val="center"/>
          </w:tcPr>
          <w:p w14:paraId="10130B50" w14:textId="70E02BE4" w:rsidR="00031F31" w:rsidRPr="00332905" w:rsidRDefault="00031F31" w:rsidP="00031F31">
            <w:pPr>
              <w:spacing w:after="0" w:line="240" w:lineRule="auto"/>
              <w:jc w:val="center"/>
              <w:rPr>
                <w:rFonts w:ascii="Garamond" w:eastAsia="Times New Roman" w:hAnsi="Garamond" w:cs="Times New Roman"/>
                <w:lang w:eastAsia="it-IT"/>
              </w:rPr>
            </w:pPr>
            <w:r w:rsidRPr="00332905">
              <w:rPr>
                <w:rFonts w:ascii="Garamond" w:eastAsia="Times New Roman" w:hAnsi="Garamond" w:cs="Times New Roman"/>
                <w:lang w:eastAsia="it-IT"/>
              </w:rPr>
              <w:lastRenderedPageBreak/>
              <w:t>1</w:t>
            </w:r>
          </w:p>
        </w:tc>
        <w:tc>
          <w:tcPr>
            <w:tcW w:w="1371" w:type="pct"/>
            <w:shd w:val="clear" w:color="auto" w:fill="auto"/>
            <w:vAlign w:val="center"/>
          </w:tcPr>
          <w:p w14:paraId="45A5B349" w14:textId="7F9291B3" w:rsidR="00031F31" w:rsidRPr="00177347" w:rsidRDefault="00031F31" w:rsidP="00031F31">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E’ stato nominato il Direttore dell’Esecuzione?</w:t>
            </w:r>
          </w:p>
        </w:tc>
        <w:tc>
          <w:tcPr>
            <w:tcW w:w="133" w:type="pct"/>
            <w:shd w:val="clear" w:color="auto" w:fill="auto"/>
            <w:vAlign w:val="center"/>
          </w:tcPr>
          <w:p w14:paraId="00DBCC58"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0B3AF0C3"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6F33236F"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17E34051"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662" w:type="pct"/>
          </w:tcPr>
          <w:p w14:paraId="04271D59"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399" w:type="pct"/>
            <w:shd w:val="clear" w:color="auto" w:fill="auto"/>
            <w:vAlign w:val="center"/>
          </w:tcPr>
          <w:p w14:paraId="6B9DA277"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1151" w:type="pct"/>
            <w:vAlign w:val="center"/>
          </w:tcPr>
          <w:p w14:paraId="196EA5D8" w14:textId="77777777" w:rsidR="00031F31" w:rsidRPr="00177347" w:rsidRDefault="00031F31" w:rsidP="00031F31">
            <w:pPr>
              <w:spacing w:after="0" w:line="240" w:lineRule="auto"/>
              <w:jc w:val="both"/>
              <w:rPr>
                <w:rFonts w:ascii="Garamond" w:eastAsia="Times New Roman" w:hAnsi="Garamond" w:cs="Times New Roman"/>
                <w:lang w:eastAsia="it-IT"/>
              </w:rPr>
            </w:pPr>
          </w:p>
        </w:tc>
      </w:tr>
      <w:tr w:rsidR="00031F31" w:rsidRPr="00023F3C" w14:paraId="1E22F3AC" w14:textId="77777777" w:rsidTr="00B277D2">
        <w:trPr>
          <w:trHeight w:val="605"/>
        </w:trPr>
        <w:tc>
          <w:tcPr>
            <w:tcW w:w="354" w:type="pct"/>
            <w:shd w:val="clear" w:color="auto" w:fill="auto"/>
            <w:vAlign w:val="center"/>
          </w:tcPr>
          <w:p w14:paraId="6504D0AB" w14:textId="02019BF7" w:rsidR="00031F31" w:rsidRPr="00332905" w:rsidRDefault="00031F31" w:rsidP="00031F31">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2</w:t>
            </w:r>
          </w:p>
        </w:tc>
        <w:tc>
          <w:tcPr>
            <w:tcW w:w="1371" w:type="pct"/>
            <w:shd w:val="clear" w:color="auto" w:fill="auto"/>
            <w:vAlign w:val="center"/>
          </w:tcPr>
          <w:p w14:paraId="04C61880" w14:textId="5B58E69F" w:rsidR="00031F31" w:rsidRPr="00177347" w:rsidRDefault="009C38EA" w:rsidP="00031F31">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L’avvio delle prestazioni</w:t>
            </w:r>
            <w:r w:rsidR="00031F31" w:rsidRPr="00177347">
              <w:rPr>
                <w:rFonts w:ascii="Garamond" w:eastAsia="Times New Roman" w:hAnsi="Garamond" w:cs="Times New Roman"/>
                <w:lang w:eastAsia="it-IT"/>
              </w:rPr>
              <w:t xml:space="preserve"> risulta da verbale redatto sottoscritto in contraddittorio con l’esecutore secondo i termini e nel rispetto di quanto previsto ai sensi dell’art. 3</w:t>
            </w:r>
            <w:r w:rsidR="00031F31">
              <w:rPr>
                <w:rFonts w:ascii="Garamond" w:eastAsia="Times New Roman" w:hAnsi="Garamond" w:cs="Times New Roman"/>
                <w:lang w:eastAsia="it-IT"/>
              </w:rPr>
              <w:t xml:space="preserve"> dell’ </w:t>
            </w:r>
            <w:r w:rsidR="00031F31" w:rsidRPr="00177347">
              <w:rPr>
                <w:rFonts w:ascii="Garamond" w:eastAsia="Times New Roman" w:hAnsi="Garamond" w:cs="Times New Roman"/>
                <w:lang w:eastAsia="it-IT"/>
              </w:rPr>
              <w:t xml:space="preserve">Allegato II.14 al </w:t>
            </w:r>
            <w:r w:rsidR="00031F31">
              <w:rPr>
                <w:rFonts w:ascii="Garamond" w:eastAsia="Times New Roman" w:hAnsi="Garamond" w:cs="Times New Roman"/>
                <w:lang w:eastAsia="it-IT"/>
              </w:rPr>
              <w:t>D</w:t>
            </w:r>
            <w:r w:rsidR="00031F31" w:rsidRPr="00177347">
              <w:rPr>
                <w:rFonts w:ascii="Garamond" w:eastAsia="Times New Roman" w:hAnsi="Garamond" w:cs="Times New Roman"/>
                <w:lang w:eastAsia="it-IT"/>
              </w:rPr>
              <w:t>.</w:t>
            </w:r>
            <w:r w:rsidR="00031F31">
              <w:rPr>
                <w:rFonts w:ascii="Garamond" w:eastAsia="Times New Roman" w:hAnsi="Garamond" w:cs="Times New Roman"/>
                <w:lang w:eastAsia="it-IT"/>
              </w:rPr>
              <w:t xml:space="preserve"> L</w:t>
            </w:r>
            <w:r w:rsidR="00031F31" w:rsidRPr="00177347">
              <w:rPr>
                <w:rFonts w:ascii="Garamond" w:eastAsia="Times New Roman" w:hAnsi="Garamond" w:cs="Times New Roman"/>
                <w:lang w:eastAsia="it-IT"/>
              </w:rPr>
              <w:t>gs. 36/2023?</w:t>
            </w:r>
          </w:p>
        </w:tc>
        <w:tc>
          <w:tcPr>
            <w:tcW w:w="133" w:type="pct"/>
            <w:shd w:val="clear" w:color="auto" w:fill="auto"/>
            <w:vAlign w:val="center"/>
          </w:tcPr>
          <w:p w14:paraId="3EA69AF3"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18933BD0"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636A64BD"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03A7A01F"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662" w:type="pct"/>
          </w:tcPr>
          <w:p w14:paraId="016379D7"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399" w:type="pct"/>
            <w:shd w:val="clear" w:color="auto" w:fill="auto"/>
            <w:vAlign w:val="center"/>
          </w:tcPr>
          <w:p w14:paraId="50B68998" w14:textId="7E46E8F2" w:rsidR="00031F31" w:rsidRPr="00177347" w:rsidRDefault="00031F31" w:rsidP="00031F31">
            <w:pPr>
              <w:spacing w:after="0" w:line="240" w:lineRule="auto"/>
              <w:jc w:val="both"/>
              <w:rPr>
                <w:rFonts w:ascii="Garamond" w:eastAsia="Times New Roman" w:hAnsi="Garamond" w:cs="Times New Roman"/>
                <w:b/>
                <w:bCs/>
                <w:lang w:eastAsia="it-IT"/>
              </w:rPr>
            </w:pPr>
          </w:p>
        </w:tc>
        <w:tc>
          <w:tcPr>
            <w:tcW w:w="1151" w:type="pct"/>
            <w:vAlign w:val="center"/>
          </w:tcPr>
          <w:p w14:paraId="05C97F3D" w14:textId="6165C328" w:rsidR="00031F31" w:rsidRPr="00177347" w:rsidRDefault="00031F31" w:rsidP="00031F31">
            <w:pPr>
              <w:spacing w:after="0" w:line="240" w:lineRule="auto"/>
              <w:jc w:val="both"/>
              <w:rPr>
                <w:rFonts w:ascii="Garamond" w:eastAsia="Times New Roman" w:hAnsi="Garamond" w:cs="Times New Roman"/>
                <w:lang w:eastAsia="it-IT"/>
              </w:rPr>
            </w:pPr>
            <w:r w:rsidRPr="00177347">
              <w:rPr>
                <w:rFonts w:ascii="Garamond" w:eastAsia="Times New Roman" w:hAnsi="Garamond" w:cs="Times New Roman"/>
                <w:lang w:eastAsia="it-IT"/>
              </w:rPr>
              <w:t>• Verbale di consegna</w:t>
            </w:r>
          </w:p>
        </w:tc>
      </w:tr>
      <w:tr w:rsidR="00031F31" w:rsidRPr="00023F3C" w14:paraId="6AD8AB80" w14:textId="77777777" w:rsidTr="00B277D2">
        <w:trPr>
          <w:trHeight w:val="605"/>
        </w:trPr>
        <w:tc>
          <w:tcPr>
            <w:tcW w:w="354" w:type="pct"/>
            <w:shd w:val="clear" w:color="auto" w:fill="auto"/>
            <w:vAlign w:val="center"/>
          </w:tcPr>
          <w:p w14:paraId="0F65AB54" w14:textId="45562D0C" w:rsidR="00031F31" w:rsidRPr="00332905" w:rsidRDefault="00031F31" w:rsidP="00031F31">
            <w:pPr>
              <w:spacing w:after="0" w:line="240" w:lineRule="auto"/>
              <w:jc w:val="center"/>
              <w:rPr>
                <w:rFonts w:ascii="Garamond" w:eastAsia="Times New Roman" w:hAnsi="Garamond" w:cs="Times New Roman"/>
                <w:lang w:eastAsia="it-IT"/>
              </w:rPr>
            </w:pPr>
            <w:r>
              <w:rPr>
                <w:rFonts w:ascii="Garamond" w:eastAsia="Times New Roman" w:hAnsi="Garamond" w:cs="Times New Roman"/>
                <w:lang w:eastAsia="it-IT"/>
              </w:rPr>
              <w:t>3</w:t>
            </w:r>
          </w:p>
        </w:tc>
        <w:tc>
          <w:tcPr>
            <w:tcW w:w="1371" w:type="pct"/>
            <w:shd w:val="clear" w:color="auto" w:fill="auto"/>
            <w:vAlign w:val="center"/>
          </w:tcPr>
          <w:p w14:paraId="57F4123D" w14:textId="77777777" w:rsidR="00031F31" w:rsidRPr="00177347" w:rsidRDefault="00031F31" w:rsidP="00031F31">
            <w:pPr>
              <w:spacing w:after="0" w:line="240" w:lineRule="auto"/>
              <w:jc w:val="both"/>
              <w:rPr>
                <w:rFonts w:ascii="Garamond" w:eastAsia="Times New Roman" w:hAnsi="Garamond" w:cs="Times New Roman"/>
                <w:lang w:eastAsia="it-IT"/>
              </w:rPr>
            </w:pPr>
            <w:r w:rsidRPr="00177347">
              <w:rPr>
                <w:rFonts w:ascii="Garamond" w:eastAsia="Times New Roman" w:hAnsi="Garamond" w:cs="Times New Roman"/>
                <w:lang w:eastAsia="it-IT"/>
              </w:rPr>
              <w:t>L’eventuale esecuzione anticipata del contratto nei casi di urgenza è avvenuta:</w:t>
            </w:r>
          </w:p>
          <w:p w14:paraId="496C87C6" w14:textId="32E835D1" w:rsidR="00031F31" w:rsidRPr="00332905" w:rsidRDefault="00031F31" w:rsidP="00031F31">
            <w:pPr>
              <w:pStyle w:val="ListParagraph"/>
              <w:numPr>
                <w:ilvl w:val="0"/>
                <w:numId w:val="32"/>
              </w:numPr>
              <w:spacing w:after="0" w:line="240" w:lineRule="auto"/>
              <w:jc w:val="both"/>
              <w:rPr>
                <w:rFonts w:ascii="Garamond" w:eastAsia="Times New Roman" w:hAnsi="Garamond" w:cs="Times New Roman"/>
                <w:lang w:eastAsia="it-IT"/>
              </w:rPr>
            </w:pPr>
            <w:r w:rsidRPr="00332905">
              <w:rPr>
                <w:rFonts w:ascii="Garamond" w:eastAsia="Times New Roman" w:hAnsi="Garamond" w:cs="Times New Roman"/>
                <w:lang w:eastAsia="it-IT"/>
              </w:rPr>
              <w:t xml:space="preserve">nei modi e alle condizioni previste dall’art. 17, commi 8 e 9, del </w:t>
            </w:r>
            <w:r>
              <w:rPr>
                <w:rFonts w:ascii="Garamond" w:eastAsia="Times New Roman" w:hAnsi="Garamond" w:cs="Times New Roman"/>
                <w:lang w:eastAsia="it-IT"/>
              </w:rPr>
              <w:t>D</w:t>
            </w:r>
            <w:r w:rsidRPr="00332905">
              <w:rPr>
                <w:rFonts w:ascii="Garamond" w:eastAsia="Times New Roman" w:hAnsi="Garamond" w:cs="Times New Roman"/>
                <w:lang w:eastAsia="it-IT"/>
              </w:rPr>
              <w:t>.</w:t>
            </w:r>
            <w:r>
              <w:rPr>
                <w:rFonts w:ascii="Garamond" w:eastAsia="Times New Roman" w:hAnsi="Garamond" w:cs="Times New Roman"/>
                <w:lang w:eastAsia="it-IT"/>
              </w:rPr>
              <w:t xml:space="preserve"> L</w:t>
            </w:r>
            <w:r w:rsidRPr="00332905">
              <w:rPr>
                <w:rFonts w:ascii="Garamond" w:eastAsia="Times New Roman" w:hAnsi="Garamond" w:cs="Times New Roman"/>
                <w:lang w:eastAsia="it-IT"/>
              </w:rPr>
              <w:t>gs. 36/2023?</w:t>
            </w:r>
          </w:p>
          <w:p w14:paraId="4A6A7FC5" w14:textId="49FD7459" w:rsidR="00031F31" w:rsidRPr="00332905" w:rsidRDefault="00031F31" w:rsidP="00031F31">
            <w:pPr>
              <w:pStyle w:val="ListParagraph"/>
              <w:numPr>
                <w:ilvl w:val="0"/>
                <w:numId w:val="32"/>
              </w:numPr>
              <w:spacing w:after="0" w:line="240" w:lineRule="auto"/>
              <w:jc w:val="both"/>
              <w:rPr>
                <w:rFonts w:ascii="Garamond" w:eastAsia="Times New Roman" w:hAnsi="Garamond" w:cs="Times New Roman"/>
                <w:lang w:eastAsia="it-IT"/>
              </w:rPr>
            </w:pPr>
            <w:r w:rsidRPr="00332905">
              <w:rPr>
                <w:rFonts w:ascii="Garamond" w:eastAsia="Times New Roman" w:hAnsi="Garamond" w:cs="Times New Roman"/>
                <w:lang w:eastAsia="it-IT"/>
              </w:rPr>
              <w:t>dopo la verifica dei requisiti dell’operatore economico?</w:t>
            </w:r>
          </w:p>
        </w:tc>
        <w:tc>
          <w:tcPr>
            <w:tcW w:w="133" w:type="pct"/>
            <w:shd w:val="clear" w:color="auto" w:fill="auto"/>
            <w:vAlign w:val="center"/>
          </w:tcPr>
          <w:p w14:paraId="72B482A1"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12044111"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4840F647"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7F34D81B"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662" w:type="pct"/>
          </w:tcPr>
          <w:p w14:paraId="29538D9A"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399" w:type="pct"/>
            <w:shd w:val="clear" w:color="auto" w:fill="auto"/>
            <w:vAlign w:val="center"/>
          </w:tcPr>
          <w:p w14:paraId="056C2849" w14:textId="77777777" w:rsidR="00031F31" w:rsidRPr="00177347" w:rsidRDefault="00031F31" w:rsidP="00031F31">
            <w:pPr>
              <w:spacing w:after="0" w:line="240" w:lineRule="auto"/>
              <w:jc w:val="both"/>
              <w:rPr>
                <w:rFonts w:ascii="Garamond" w:eastAsia="Times New Roman" w:hAnsi="Garamond" w:cs="Times New Roman"/>
                <w:b/>
                <w:bCs/>
                <w:lang w:eastAsia="it-IT"/>
              </w:rPr>
            </w:pPr>
          </w:p>
        </w:tc>
        <w:tc>
          <w:tcPr>
            <w:tcW w:w="1151" w:type="pct"/>
            <w:vAlign w:val="center"/>
          </w:tcPr>
          <w:p w14:paraId="21523C1B" w14:textId="49A01734" w:rsidR="00031F31" w:rsidRPr="00177347" w:rsidRDefault="00031F31" w:rsidP="00031F31">
            <w:pPr>
              <w:spacing w:after="0" w:line="240" w:lineRule="auto"/>
              <w:jc w:val="both"/>
              <w:rPr>
                <w:rFonts w:ascii="Garamond" w:eastAsia="Times New Roman" w:hAnsi="Garamond" w:cs="Times New Roman"/>
                <w:lang w:eastAsia="it-IT"/>
              </w:rPr>
            </w:pPr>
            <w:r w:rsidRPr="00177347">
              <w:rPr>
                <w:rFonts w:ascii="Garamond" w:eastAsia="Times New Roman" w:hAnsi="Garamond" w:cs="Times New Roman"/>
                <w:lang w:eastAsia="it-IT"/>
              </w:rPr>
              <w:t>• Verbale di consegna in via d’urgenza</w:t>
            </w:r>
          </w:p>
        </w:tc>
      </w:tr>
      <w:tr w:rsidR="00031F31" w:rsidRPr="00023F3C" w14:paraId="27122777" w14:textId="77777777" w:rsidTr="00B277D2">
        <w:trPr>
          <w:trHeight w:val="605"/>
        </w:trPr>
        <w:tc>
          <w:tcPr>
            <w:tcW w:w="354" w:type="pct"/>
            <w:shd w:val="clear" w:color="auto" w:fill="auto"/>
            <w:vAlign w:val="center"/>
          </w:tcPr>
          <w:p w14:paraId="038E24CD" w14:textId="2D44545A" w:rsidR="00031F31" w:rsidRDefault="00B01A7C"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371" w:type="pct"/>
            <w:shd w:val="clear" w:color="auto" w:fill="auto"/>
            <w:vAlign w:val="center"/>
          </w:tcPr>
          <w:p w14:paraId="7F267B39" w14:textId="2C763EA8" w:rsidR="00031F31" w:rsidRPr="0027277C" w:rsidRDefault="00031F31" w:rsidP="00031F31">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 xml:space="preserve">Sono state effettuate modifiche </w:t>
            </w:r>
            <w:r>
              <w:rPr>
                <w:rFonts w:ascii="Garamond" w:eastAsia="Times New Roman" w:hAnsi="Garamond" w:cs="Times New Roman"/>
                <w:color w:val="000000"/>
                <w:lang w:eastAsia="it-IT"/>
              </w:rPr>
              <w:t>del</w:t>
            </w:r>
            <w:r w:rsidRPr="0027277C">
              <w:rPr>
                <w:rFonts w:ascii="Garamond" w:eastAsia="Times New Roman" w:hAnsi="Garamond" w:cs="Times New Roman"/>
                <w:color w:val="000000"/>
                <w:lang w:eastAsia="it-IT"/>
              </w:rPr>
              <w:t xml:space="preserve"> contratto?</w:t>
            </w:r>
          </w:p>
        </w:tc>
        <w:tc>
          <w:tcPr>
            <w:tcW w:w="133" w:type="pct"/>
            <w:shd w:val="clear" w:color="auto" w:fill="auto"/>
            <w:vAlign w:val="center"/>
          </w:tcPr>
          <w:p w14:paraId="0252471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97E5AA2"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F67B67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8CF09B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39B52E5D"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76C0811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52266C36" w14:textId="7C9624C3"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031F31" w:rsidRPr="00023F3C" w14:paraId="75D178F5" w14:textId="77777777" w:rsidTr="00B277D2">
        <w:trPr>
          <w:trHeight w:val="605"/>
        </w:trPr>
        <w:tc>
          <w:tcPr>
            <w:tcW w:w="354" w:type="pct"/>
            <w:shd w:val="clear" w:color="auto" w:fill="auto"/>
            <w:vAlign w:val="center"/>
          </w:tcPr>
          <w:p w14:paraId="3DEABCEA" w14:textId="011E599D" w:rsidR="00031F31" w:rsidRDefault="00B01A7C"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371" w:type="pct"/>
            <w:shd w:val="clear" w:color="auto" w:fill="auto"/>
            <w:vAlign w:val="center"/>
          </w:tcPr>
          <w:p w14:paraId="715E3605" w14:textId="1F0C3E37" w:rsidR="00031F31" w:rsidRPr="00023F3C" w:rsidRDefault="00031F31" w:rsidP="00031F31">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w:t>
            </w:r>
            <w:r>
              <w:rPr>
                <w:rFonts w:ascii="Garamond" w:eastAsia="Times New Roman" w:hAnsi="Garamond" w:cs="Times New Roman"/>
                <w:color w:val="000000"/>
                <w:lang w:eastAsia="it-IT"/>
              </w:rPr>
              <w:t>Stazione Appaltante</w:t>
            </w:r>
            <w:r w:rsidRPr="006F7423">
              <w:rPr>
                <w:rFonts w:ascii="Garamond" w:eastAsia="Times New Roman" w:hAnsi="Garamond" w:cs="Times New Roman"/>
                <w:color w:val="000000"/>
                <w:lang w:eastAsia="it-IT"/>
              </w:rPr>
              <w:t xml:space="preserve"> cui il RUP dipende, ai sensi dell’art. </w:t>
            </w:r>
            <w:r>
              <w:rPr>
                <w:rFonts w:ascii="Garamond" w:eastAsia="Times New Roman" w:hAnsi="Garamond" w:cs="Times New Roman"/>
                <w:color w:val="000000"/>
                <w:lang w:eastAsia="it-IT"/>
              </w:rPr>
              <w:t>120 del D. Lgs. 36/2023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33" w:type="pct"/>
            <w:shd w:val="clear" w:color="auto" w:fill="auto"/>
            <w:vAlign w:val="center"/>
          </w:tcPr>
          <w:p w14:paraId="464B55ED"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32C4588"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474437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B4D8DB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66709BB8" w14:textId="757CB3A8" w:rsidR="00031F31" w:rsidRPr="0017761D" w:rsidRDefault="00031F31" w:rsidP="00031F31">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vAlign w:val="center"/>
          </w:tcPr>
          <w:p w14:paraId="49418821" w14:textId="50DA6C11"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7210491B"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031F31" w:rsidRPr="00023F3C" w14:paraId="408A7DDB" w14:textId="77777777" w:rsidTr="00B277D2">
        <w:trPr>
          <w:trHeight w:val="605"/>
        </w:trPr>
        <w:tc>
          <w:tcPr>
            <w:tcW w:w="354" w:type="pct"/>
            <w:shd w:val="clear" w:color="auto" w:fill="auto"/>
            <w:vAlign w:val="center"/>
          </w:tcPr>
          <w:p w14:paraId="001A3B6E" w14:textId="095FAFE5" w:rsidR="00031F31" w:rsidRDefault="00B01A7C"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371" w:type="pct"/>
            <w:shd w:val="clear" w:color="auto" w:fill="auto"/>
            <w:vAlign w:val="center"/>
          </w:tcPr>
          <w:p w14:paraId="09669825" w14:textId="5B087844" w:rsidR="00031F31" w:rsidRPr="00023F3C" w:rsidRDefault="00031F31" w:rsidP="00031F3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120, commi 1, 3 e 5, del D. Lgs. 36/2023</w:t>
            </w:r>
            <w:r w:rsidRPr="00177AE1">
              <w:rPr>
                <w:rFonts w:ascii="Garamond" w:eastAsia="Times New Roman" w:hAnsi="Garamond" w:cs="Times New Roman"/>
                <w:color w:val="000000"/>
                <w:lang w:eastAsia="it-IT"/>
              </w:rPr>
              <w:t>?</w:t>
            </w:r>
          </w:p>
        </w:tc>
        <w:tc>
          <w:tcPr>
            <w:tcW w:w="133" w:type="pct"/>
            <w:shd w:val="clear" w:color="auto" w:fill="auto"/>
            <w:vAlign w:val="center"/>
          </w:tcPr>
          <w:p w14:paraId="3FE78B3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30D4F26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4630DE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71996F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76C86BA5"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Ai sensi del Codice, quale modificato dal Decreto correttivo 209/2024, per varianti in corso d'opera si intendono le modifiche resesi necessarie in </w:t>
            </w:r>
            <w:r w:rsidRPr="0017761D">
              <w:rPr>
                <w:rFonts w:ascii="Garamond" w:eastAsia="Times New Roman" w:hAnsi="Garamond" w:cs="Times New Roman"/>
                <w:color w:val="2F5496" w:themeColor="accent1" w:themeShade="BF"/>
                <w:lang w:eastAsia="it-IT"/>
              </w:rPr>
              <w:lastRenderedPageBreak/>
              <w:t xml:space="preserve">corso di esecuzione dell'appalto per effetto delle seguenti circostanze imprevedibili da parte della Stazione Appaltante, fatti salvi gli ulteriori casi previsti nella legislazione di settore: 1) le esigenze derivanti da nuove disposizioni legislative o regolamentari o da provvedimenti </w:t>
            </w:r>
          </w:p>
          <w:p w14:paraId="01D680CC"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imprevedibili e i casi di forza maggiore che incidono sui </w:t>
            </w:r>
          </w:p>
          <w:p w14:paraId="1D17BC4C"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beni oggetto dell'intervento; </w:t>
            </w:r>
          </w:p>
          <w:p w14:paraId="329F6D34"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3) i rinvenimenti, imprevisti o non prevedibili con la </w:t>
            </w:r>
            <w:r w:rsidRPr="0017761D">
              <w:rPr>
                <w:rFonts w:ascii="Garamond" w:eastAsia="Times New Roman" w:hAnsi="Garamond" w:cs="Times New Roman"/>
                <w:color w:val="2F5496" w:themeColor="accent1" w:themeShade="BF"/>
                <w:lang w:eastAsia="it-IT"/>
              </w:rPr>
              <w:lastRenderedPageBreak/>
              <w:t xml:space="preserve">dovuta diligenza nella fase di </w:t>
            </w:r>
          </w:p>
          <w:p w14:paraId="292D3A36"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progettazione; </w:t>
            </w:r>
          </w:p>
          <w:p w14:paraId="471EE6AF"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4) le difficoltà di esecuzione derivanti da cause geologiche, idriche e simili, non </w:t>
            </w:r>
          </w:p>
          <w:p w14:paraId="0784A2D7"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prevedibili dalle parti in base alle conoscenze tecnico-scientifiche consolidate al momento </w:t>
            </w:r>
          </w:p>
          <w:p w14:paraId="0667CEBA"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della progettazione.</w:t>
            </w:r>
          </w:p>
          <w:p w14:paraId="093184F9" w14:textId="77777777" w:rsidR="00031F31" w:rsidRPr="0017761D" w:rsidRDefault="00031F31" w:rsidP="00031F31">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vAlign w:val="center"/>
          </w:tcPr>
          <w:p w14:paraId="4BC123D3" w14:textId="793534A5"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4B8821EE"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31F31" w:rsidRPr="00023F3C" w14:paraId="3AE1F738" w14:textId="77777777" w:rsidTr="00B277D2">
        <w:trPr>
          <w:trHeight w:val="605"/>
        </w:trPr>
        <w:tc>
          <w:tcPr>
            <w:tcW w:w="354" w:type="pct"/>
            <w:shd w:val="clear" w:color="auto" w:fill="auto"/>
            <w:vAlign w:val="center"/>
          </w:tcPr>
          <w:p w14:paraId="1C0AFE99" w14:textId="0572A267" w:rsidR="00031F31" w:rsidRDefault="00B01A7C"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7</w:t>
            </w:r>
          </w:p>
        </w:tc>
        <w:tc>
          <w:tcPr>
            <w:tcW w:w="1371" w:type="pct"/>
            <w:shd w:val="clear" w:color="auto" w:fill="auto"/>
            <w:vAlign w:val="center"/>
          </w:tcPr>
          <w:p w14:paraId="6CD5E45C" w14:textId="4F6AFB33" w:rsidR="00031F31" w:rsidRPr="00023F3C" w:rsidRDefault="00031F31" w:rsidP="00031F31">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525879">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525879">
              <w:rPr>
                <w:rFonts w:ascii="Garamond" w:eastAsia="Times New Roman" w:hAnsi="Garamond" w:cs="Times New Roman"/>
                <w:color w:val="000000"/>
                <w:lang w:eastAsia="it-IT"/>
              </w:rPr>
              <w:t xml:space="preserve"> lett. </w:t>
            </w:r>
            <w:r>
              <w:rPr>
                <w:rFonts w:ascii="Garamond" w:eastAsia="Times New Roman" w:hAnsi="Garamond" w:cs="Times New Roman"/>
                <w:color w:val="000000"/>
                <w:lang w:eastAsia="it-IT"/>
              </w:rPr>
              <w:t>a</w:t>
            </w:r>
            <w:r w:rsidRPr="005258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 </w:t>
            </w:r>
            <w:r w:rsidR="004037A1">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4037A1">
              <w:rPr>
                <w:rFonts w:ascii="Garamond" w:eastAsia="Times New Roman" w:hAnsi="Garamond" w:cs="Times New Roman"/>
                <w:color w:val="000000"/>
                <w:lang w:eastAsia="it-IT"/>
              </w:rPr>
              <w:t xml:space="preserve"> 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si è verificata la corrispondenza tra le “modifiche” poste in essere e quanto fissato all'interno delle “clausole chiare, precise e inequivocabili</w:t>
            </w:r>
            <w:r>
              <w:rPr>
                <w:rFonts w:ascii="Garamond" w:eastAsia="Times New Roman" w:hAnsi="Garamond" w:cs="Times New Roman"/>
                <w:color w:val="000000"/>
                <w:lang w:eastAsia="it-IT"/>
              </w:rPr>
              <w:t>”?</w:t>
            </w:r>
          </w:p>
        </w:tc>
        <w:tc>
          <w:tcPr>
            <w:tcW w:w="133" w:type="pct"/>
            <w:shd w:val="clear" w:color="auto" w:fill="auto"/>
            <w:vAlign w:val="center"/>
          </w:tcPr>
          <w:p w14:paraId="64A680C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2A726B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185EF5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A3B857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37C8F22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687B19AA" w14:textId="764E6015"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559471E3"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31F31" w:rsidRPr="00023F3C" w14:paraId="032F3627" w14:textId="77777777" w:rsidTr="00B277D2">
        <w:trPr>
          <w:trHeight w:val="605"/>
        </w:trPr>
        <w:tc>
          <w:tcPr>
            <w:tcW w:w="354" w:type="pct"/>
            <w:shd w:val="clear" w:color="auto" w:fill="auto"/>
            <w:vAlign w:val="center"/>
          </w:tcPr>
          <w:p w14:paraId="09D5EC73" w14:textId="683CACCB" w:rsidR="00031F31" w:rsidRDefault="00B01A7C"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371" w:type="pct"/>
            <w:shd w:val="clear" w:color="auto" w:fill="auto"/>
            <w:vAlign w:val="center"/>
          </w:tcPr>
          <w:p w14:paraId="6EDCA7BB" w14:textId="33706A5E" w:rsidR="00031F31" w:rsidRPr="00023F3C" w:rsidRDefault="00031F31" w:rsidP="00031F31">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Nel caso di “modifiche” ai sensi dell'art. 106</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lett. b)</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004037A1">
              <w:rPr>
                <w:rFonts w:ascii="Garamond" w:eastAsia="Times New Roman" w:hAnsi="Garamond" w:cs="Times New Roman"/>
                <w:color w:val="000000"/>
                <w:lang w:eastAsia="it-IT"/>
              </w:rPr>
              <w:t>D</w:t>
            </w:r>
            <w:r w:rsidRPr="00F271A7">
              <w:rPr>
                <w:rFonts w:ascii="Garamond" w:eastAsia="Times New Roman" w:hAnsi="Garamond" w:cs="Times New Roman"/>
                <w:color w:val="000000"/>
                <w:lang w:eastAsia="it-IT"/>
              </w:rPr>
              <w:t>.</w:t>
            </w:r>
            <w:r w:rsidR="004037A1">
              <w:rPr>
                <w:rFonts w:ascii="Garamond" w:eastAsia="Times New Roman" w:hAnsi="Garamond" w:cs="Times New Roman"/>
                <w:color w:val="000000"/>
                <w:lang w:eastAsia="it-IT"/>
              </w:rPr>
              <w:t xml:space="preserve"> 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w:t>
            </w:r>
            <w:proofErr w:type="gramStart"/>
            <w:r w:rsidRPr="00F271A7">
              <w:rPr>
                <w:rFonts w:ascii="Garamond" w:eastAsia="Times New Roman" w:hAnsi="Garamond" w:cs="Times New Roman"/>
                <w:color w:val="000000"/>
                <w:lang w:eastAsia="it-IT"/>
              </w:rPr>
              <w:t>fosse</w:t>
            </w:r>
            <w:proofErr w:type="gramEnd"/>
            <w:r w:rsidRPr="00F271A7">
              <w:rPr>
                <w:rFonts w:ascii="Garamond" w:eastAsia="Times New Roman" w:hAnsi="Garamond" w:cs="Times New Roman"/>
                <w:color w:val="000000"/>
                <w:lang w:eastAsia="it-IT"/>
              </w:rPr>
              <w:t xml:space="preserve"> “impraticabile per motivi economici o tecnici” e comportasse “per </w:t>
            </w:r>
            <w:r>
              <w:rPr>
                <w:rFonts w:ascii="Garamond" w:eastAsia="Times New Roman" w:hAnsi="Garamond" w:cs="Times New Roman"/>
                <w:color w:val="000000"/>
                <w:lang w:eastAsia="it-IT"/>
              </w:rPr>
              <w:t xml:space="preserve">la Stazione Appaltante </w:t>
            </w:r>
            <w:r w:rsidRPr="00F271A7">
              <w:rPr>
                <w:rFonts w:ascii="Garamond" w:eastAsia="Times New Roman" w:hAnsi="Garamond" w:cs="Times New Roman"/>
                <w:color w:val="000000"/>
                <w:lang w:eastAsia="it-IT"/>
              </w:rPr>
              <w:t xml:space="preserve">notevoli </w:t>
            </w:r>
            <w:r>
              <w:rPr>
                <w:rFonts w:ascii="Garamond" w:eastAsia="Times New Roman" w:hAnsi="Garamond" w:cs="Times New Roman"/>
                <w:color w:val="000000"/>
                <w:lang w:eastAsia="it-IT"/>
              </w:rPr>
              <w:t>disagi</w:t>
            </w:r>
            <w:r w:rsidRPr="00F271A7">
              <w:rPr>
                <w:rFonts w:ascii="Garamond" w:eastAsia="Times New Roman" w:hAnsi="Garamond" w:cs="Times New Roman"/>
                <w:color w:val="000000"/>
                <w:lang w:eastAsia="it-IT"/>
              </w:rPr>
              <w:t xml:space="preserve"> o una </w:t>
            </w:r>
            <w:r>
              <w:rPr>
                <w:rFonts w:ascii="Garamond" w:eastAsia="Times New Roman" w:hAnsi="Garamond" w:cs="Times New Roman"/>
                <w:color w:val="000000"/>
                <w:lang w:eastAsia="it-IT"/>
              </w:rPr>
              <w:t>sostanziale incremento di costi?</w:t>
            </w:r>
          </w:p>
        </w:tc>
        <w:tc>
          <w:tcPr>
            <w:tcW w:w="133" w:type="pct"/>
            <w:shd w:val="clear" w:color="auto" w:fill="auto"/>
            <w:vAlign w:val="center"/>
          </w:tcPr>
          <w:p w14:paraId="221B945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7178F2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DDA8235"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2C2255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5AAD828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2D1E43DB" w14:textId="60D15B6E"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7D1E0192"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31F31" w:rsidRPr="00023F3C" w14:paraId="30FEF733" w14:textId="77777777" w:rsidTr="003F7051">
        <w:trPr>
          <w:trHeight w:val="605"/>
        </w:trPr>
        <w:tc>
          <w:tcPr>
            <w:tcW w:w="354" w:type="pct"/>
            <w:shd w:val="clear" w:color="auto" w:fill="auto"/>
            <w:vAlign w:val="center"/>
          </w:tcPr>
          <w:p w14:paraId="453D303D" w14:textId="1B9C5E90" w:rsidR="00031F31" w:rsidRDefault="00B01A7C"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371" w:type="pct"/>
            <w:shd w:val="clear" w:color="auto" w:fill="auto"/>
            <w:vAlign w:val="center"/>
          </w:tcPr>
          <w:p w14:paraId="2D94FDF7" w14:textId="2CAB471C" w:rsidR="00031F31" w:rsidRPr="00023F3C" w:rsidRDefault="00031F31" w:rsidP="00031F31">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 xml:space="preserve">In applicazione dell'art. </w:t>
            </w:r>
            <w:r>
              <w:rPr>
                <w:rFonts w:ascii="Garamond" w:eastAsia="Times New Roman" w:hAnsi="Garamond" w:cs="Times New Roman"/>
                <w:color w:val="000000"/>
                <w:lang w:eastAsia="it-IT"/>
              </w:rPr>
              <w:t>120,</w:t>
            </w:r>
            <w:r w:rsidRPr="00110224">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 xml:space="preserve"> lett. c)</w:t>
            </w:r>
            <w:r>
              <w:rPr>
                <w:rFonts w:ascii="Garamond" w:eastAsia="Times New Roman" w:hAnsi="Garamond" w:cs="Times New Roman"/>
                <w:color w:val="000000"/>
                <w:lang w:eastAsia="it-IT"/>
              </w:rPr>
              <w:t>, del</w:t>
            </w:r>
            <w:r w:rsidRPr="00110224">
              <w:rPr>
                <w:rFonts w:ascii="Garamond" w:eastAsia="Times New Roman" w:hAnsi="Garamond" w:cs="Times New Roman"/>
                <w:color w:val="000000"/>
                <w:lang w:eastAsia="it-IT"/>
              </w:rPr>
              <w:t xml:space="preserve"> </w:t>
            </w:r>
            <w:r w:rsidR="004037A1">
              <w:rPr>
                <w:rFonts w:ascii="Garamond" w:eastAsia="Times New Roman" w:hAnsi="Garamond" w:cs="Times New Roman"/>
                <w:color w:val="000000"/>
                <w:lang w:eastAsia="it-IT"/>
              </w:rPr>
              <w:t>D</w:t>
            </w:r>
            <w:r w:rsidRPr="00110224">
              <w:rPr>
                <w:rFonts w:ascii="Garamond" w:eastAsia="Times New Roman" w:hAnsi="Garamond" w:cs="Times New Roman"/>
                <w:color w:val="000000"/>
                <w:lang w:eastAsia="it-IT"/>
              </w:rPr>
              <w:t>.</w:t>
            </w:r>
            <w:r w:rsidR="004037A1">
              <w:rPr>
                <w:rFonts w:ascii="Garamond" w:eastAsia="Times New Roman" w:hAnsi="Garamond" w:cs="Times New Roman"/>
                <w:color w:val="000000"/>
                <w:lang w:eastAsia="it-IT"/>
              </w:rPr>
              <w:t xml:space="preserve"> 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xml:space="preserve">, nel caso di modifiche all'oggetto del contratto denominate “varianti in corso d'opera”, l'Amministrazione ha dato evidenza nell'istruttoria e nei provvedimenti adottati in esito alla stessa del fatto che “la necessità di modifica è determinata da circostanze imprevedibili </w:t>
            </w:r>
            <w:r>
              <w:rPr>
                <w:rFonts w:ascii="Garamond" w:eastAsia="Times New Roman" w:hAnsi="Garamond" w:cs="Times New Roman"/>
                <w:color w:val="000000"/>
                <w:lang w:eastAsia="it-IT"/>
              </w:rPr>
              <w:t>da parte della Stazione Appaltante</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p>
        </w:tc>
        <w:tc>
          <w:tcPr>
            <w:tcW w:w="133" w:type="pct"/>
            <w:shd w:val="clear" w:color="auto" w:fill="auto"/>
            <w:vAlign w:val="center"/>
          </w:tcPr>
          <w:p w14:paraId="47DFB64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C61DCC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15F7D3D"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47543074"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vAlign w:val="center"/>
          </w:tcPr>
          <w:p w14:paraId="6C9C1565"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Ai sensi del Codice, quale modificato dal Decreto correttivo 209/2024, per varianti in corso d'opera si intendono le modifiche resesi necessarie in corso di esecuzione dell'appalto per effetto delle seguenti circostanze imprevedibili da parte della Stazione Appaltante, fatti salvi gli ulteriori casi previsti nella legislazione di settore: 1) le esigenze derivanti da nuove disposizioni legislative o regolamentari o da provvedimenti </w:t>
            </w:r>
          </w:p>
          <w:p w14:paraId="3AEDA4B9"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imprevedibili e i casi di </w:t>
            </w:r>
            <w:r w:rsidRPr="0017761D">
              <w:rPr>
                <w:rFonts w:ascii="Garamond" w:eastAsia="Times New Roman" w:hAnsi="Garamond" w:cs="Times New Roman"/>
                <w:color w:val="2F5496" w:themeColor="accent1" w:themeShade="BF"/>
                <w:lang w:eastAsia="it-IT"/>
              </w:rPr>
              <w:lastRenderedPageBreak/>
              <w:t xml:space="preserve">forza maggiore che incidono sui </w:t>
            </w:r>
          </w:p>
          <w:p w14:paraId="49D52FBD"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beni oggetto dell'intervento; </w:t>
            </w:r>
          </w:p>
          <w:p w14:paraId="12953A08"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3) i rinvenimenti, imprevisti o non prevedibili con la dovuta diligenza nella fase di </w:t>
            </w:r>
          </w:p>
          <w:p w14:paraId="01E00C9E"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progettazione; </w:t>
            </w:r>
          </w:p>
          <w:p w14:paraId="0B50B65C"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4) le difficoltà di esecuzione derivanti da cause geologiche, idriche e simili, non </w:t>
            </w:r>
          </w:p>
          <w:p w14:paraId="32709A4D" w14:textId="77777777" w:rsidR="0017761D" w:rsidRPr="0017761D" w:rsidRDefault="0017761D" w:rsidP="0017761D">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 xml:space="preserve">prevedibili dalle parti in base alle conoscenze tecnico-scientifiche consolidate al momento </w:t>
            </w:r>
          </w:p>
          <w:p w14:paraId="6B00128D" w14:textId="315E8690" w:rsidR="00031F31" w:rsidRPr="0017761D" w:rsidRDefault="0017761D" w:rsidP="00031F31">
            <w:pPr>
              <w:spacing w:after="0" w:line="240" w:lineRule="auto"/>
              <w:jc w:val="both"/>
              <w:rPr>
                <w:rFonts w:ascii="Garamond" w:eastAsia="Times New Roman" w:hAnsi="Garamond" w:cs="Times New Roman"/>
                <w:color w:val="2F5496" w:themeColor="accent1" w:themeShade="BF"/>
                <w:lang w:eastAsia="it-IT"/>
              </w:rPr>
            </w:pPr>
            <w:r w:rsidRPr="0017761D">
              <w:rPr>
                <w:rFonts w:ascii="Garamond" w:eastAsia="Times New Roman" w:hAnsi="Garamond" w:cs="Times New Roman"/>
                <w:color w:val="2F5496" w:themeColor="accent1" w:themeShade="BF"/>
                <w:lang w:eastAsia="it-IT"/>
              </w:rPr>
              <w:t>della progettazione.</w:t>
            </w:r>
          </w:p>
        </w:tc>
        <w:tc>
          <w:tcPr>
            <w:tcW w:w="399" w:type="pct"/>
            <w:shd w:val="clear" w:color="auto" w:fill="auto"/>
            <w:vAlign w:val="center"/>
          </w:tcPr>
          <w:p w14:paraId="03D39AD4" w14:textId="609FBC1A"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67E756EF"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031F31" w:rsidRPr="00023F3C" w14:paraId="0AE659BB" w14:textId="77777777" w:rsidTr="00B277D2">
        <w:trPr>
          <w:trHeight w:val="605"/>
        </w:trPr>
        <w:tc>
          <w:tcPr>
            <w:tcW w:w="354" w:type="pct"/>
            <w:shd w:val="clear" w:color="auto" w:fill="auto"/>
            <w:vAlign w:val="center"/>
          </w:tcPr>
          <w:p w14:paraId="405E3A57" w14:textId="4E96CD14"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01A7C">
              <w:rPr>
                <w:rFonts w:ascii="Garamond" w:eastAsia="Times New Roman" w:hAnsi="Garamond" w:cs="Times New Roman"/>
                <w:color w:val="000000"/>
                <w:lang w:eastAsia="it-IT"/>
              </w:rPr>
              <w:t>0</w:t>
            </w:r>
          </w:p>
        </w:tc>
        <w:tc>
          <w:tcPr>
            <w:tcW w:w="1371" w:type="pct"/>
            <w:shd w:val="clear" w:color="auto" w:fill="auto"/>
            <w:vAlign w:val="center"/>
          </w:tcPr>
          <w:p w14:paraId="79F0FB23" w14:textId="06FF8FFF" w:rsidR="00031F31" w:rsidRPr="00172C2C" w:rsidRDefault="00031F31" w:rsidP="00031F31">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147D3C">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147D3C">
              <w:rPr>
                <w:rFonts w:ascii="Garamond" w:eastAsia="Times New Roman" w:hAnsi="Garamond" w:cs="Times New Roman"/>
                <w:color w:val="000000"/>
                <w:lang w:eastAsia="it-IT"/>
              </w:rPr>
              <w:t xml:space="preserve"> lett. d)</w:t>
            </w:r>
            <w:r>
              <w:rPr>
                <w:rFonts w:ascii="Garamond" w:eastAsia="Times New Roman" w:hAnsi="Garamond" w:cs="Times New Roman"/>
                <w:color w:val="000000"/>
                <w:lang w:eastAsia="it-IT"/>
              </w:rPr>
              <w:t>, del</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w:t>
            </w:r>
            <w:r w:rsidRPr="00147D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147D3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l'</w:t>
            </w:r>
            <w:r>
              <w:rPr>
                <w:rFonts w:ascii="Garamond" w:eastAsia="Times New Roman" w:hAnsi="Garamond" w:cs="Times New Roman"/>
                <w:color w:val="000000"/>
                <w:lang w:eastAsia="it-IT"/>
              </w:rPr>
              <w:t>Amministrazione</w:t>
            </w:r>
            <w:r w:rsidRPr="00147D3C">
              <w:rPr>
                <w:rFonts w:ascii="Garamond" w:eastAsia="Times New Roman" w:hAnsi="Garamond" w:cs="Times New Roman"/>
                <w:color w:val="000000"/>
                <w:lang w:eastAsia="it-IT"/>
              </w:rPr>
              <w:t xml:space="preserve"> ha dato evidenza nell'istruttoria e nei provvedimenti adottati del fatto che l'individuazione di “nuovo contraente” sia dipesa </w:t>
            </w:r>
            <w:r>
              <w:rPr>
                <w:rFonts w:ascii="Garamond" w:eastAsia="Times New Roman" w:hAnsi="Garamond" w:cs="Times New Roman"/>
                <w:color w:val="000000"/>
                <w:lang w:eastAsia="it-IT"/>
              </w:rPr>
              <w:t xml:space="preserve">da </w:t>
            </w:r>
            <w:r w:rsidRPr="00147D3C">
              <w:rPr>
                <w:rFonts w:ascii="Garamond" w:eastAsia="Times New Roman" w:hAnsi="Garamond" w:cs="Times New Roman"/>
                <w:color w:val="000000"/>
                <w:lang w:eastAsia="it-IT"/>
              </w:rPr>
              <w:t>“una delle seguenti circostanze...</w:t>
            </w:r>
            <w:r>
              <w:rPr>
                <w:rFonts w:ascii="Garamond" w:eastAsia="Times New Roman" w:hAnsi="Garamond" w:cs="Times New Roman"/>
                <w:color w:val="000000"/>
                <w:lang w:eastAsia="it-IT"/>
              </w:rPr>
              <w:t xml:space="preserve"> </w:t>
            </w:r>
            <w:r w:rsidRPr="00147D3C">
              <w:rPr>
                <w:rFonts w:ascii="Garamond" w:eastAsia="Times New Roman" w:hAnsi="Garamond" w:cs="Times New Roman"/>
                <w:color w:val="000000"/>
                <w:lang w:eastAsia="it-IT"/>
              </w:rPr>
              <w:t>1)</w:t>
            </w:r>
            <w:r>
              <w:rPr>
                <w:rFonts w:ascii="Garamond" w:eastAsia="Times New Roman" w:hAnsi="Garamond" w:cs="Times New Roman"/>
                <w:color w:val="000000"/>
                <w:lang w:eastAsia="it-IT"/>
              </w:rPr>
              <w:t xml:space="preserve"> clausole chiare,  precise e inequivocabili dei documenti di gara</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2) </w:t>
            </w:r>
            <w:r w:rsidRPr="00147D3C">
              <w:rPr>
                <w:rFonts w:ascii="Garamond" w:eastAsia="Times New Roman" w:hAnsi="Garamond" w:cs="Times New Roman"/>
                <w:color w:val="000000"/>
                <w:lang w:eastAsia="it-IT"/>
              </w:rPr>
              <w:t xml:space="preserve">all'aggiudicatario  succede, per causa di </w:t>
            </w:r>
            <w:r w:rsidRPr="00147D3C">
              <w:rPr>
                <w:rFonts w:ascii="Garamond" w:eastAsia="Times New Roman" w:hAnsi="Garamond" w:cs="Times New Roman"/>
                <w:color w:val="000000"/>
                <w:lang w:eastAsia="it-IT"/>
              </w:rPr>
              <w:lastRenderedPageBreak/>
              <w:t xml:space="preserve">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 xml:space="preserve">la Stazione Appaltante </w:t>
            </w:r>
            <w:r w:rsidRPr="00147D3C">
              <w:rPr>
                <w:rFonts w:ascii="Garamond" w:eastAsia="Times New Roman" w:hAnsi="Garamond" w:cs="Times New Roman"/>
                <w:color w:val="000000"/>
                <w:lang w:eastAsia="it-IT"/>
              </w:rPr>
              <w:t xml:space="preserve"> si assuma gli obblighi del contraente principale nei confronti dei suoi subappaltatori”</w:t>
            </w:r>
            <w:r>
              <w:rPr>
                <w:rFonts w:ascii="Garamond" w:eastAsia="Times New Roman" w:hAnsi="Garamond" w:cs="Times New Roman"/>
                <w:color w:val="000000"/>
                <w:lang w:eastAsia="it-IT"/>
              </w:rPr>
              <w:t>?</w:t>
            </w:r>
          </w:p>
        </w:tc>
        <w:tc>
          <w:tcPr>
            <w:tcW w:w="133" w:type="pct"/>
            <w:shd w:val="clear" w:color="auto" w:fill="auto"/>
            <w:vAlign w:val="center"/>
          </w:tcPr>
          <w:p w14:paraId="2CDF5E42"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02FDD3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746A5F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C5A5299"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56C2C8D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001F64D8" w14:textId="6F16BFA3"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4F6C5ADB"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31F31" w:rsidRPr="00023F3C" w14:paraId="768D953C" w14:textId="77777777" w:rsidTr="00B277D2">
        <w:trPr>
          <w:trHeight w:val="605"/>
        </w:trPr>
        <w:tc>
          <w:tcPr>
            <w:tcW w:w="354" w:type="pct"/>
            <w:shd w:val="clear" w:color="auto" w:fill="auto"/>
            <w:vAlign w:val="center"/>
          </w:tcPr>
          <w:p w14:paraId="420D1873" w14:textId="49C26535"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01A7C">
              <w:rPr>
                <w:rFonts w:ascii="Garamond" w:eastAsia="Times New Roman" w:hAnsi="Garamond" w:cs="Times New Roman"/>
                <w:color w:val="000000"/>
                <w:lang w:eastAsia="it-IT"/>
              </w:rPr>
              <w:t>1</w:t>
            </w:r>
          </w:p>
        </w:tc>
        <w:tc>
          <w:tcPr>
            <w:tcW w:w="1371" w:type="pct"/>
            <w:shd w:val="clear" w:color="auto" w:fill="auto"/>
            <w:vAlign w:val="center"/>
          </w:tcPr>
          <w:p w14:paraId="0B6FD27E" w14:textId="50D11941" w:rsidR="00031F31" w:rsidRPr="00172C2C" w:rsidRDefault="00031F31" w:rsidP="00031F31">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w:t>
            </w:r>
            <w:r>
              <w:rPr>
                <w:rFonts w:ascii="Garamond" w:eastAsia="Times New Roman" w:hAnsi="Garamond" w:cs="Times New Roman"/>
                <w:color w:val="000000"/>
                <w:lang w:eastAsia="it-IT"/>
              </w:rPr>
              <w:t>dell’</w:t>
            </w:r>
            <w:r w:rsidRPr="00772DE4">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004037A1">
              <w:rPr>
                <w:rFonts w:ascii="Garamond" w:eastAsia="Times New Roman" w:hAnsi="Garamond" w:cs="Times New Roman"/>
                <w:color w:val="000000"/>
                <w:lang w:eastAsia="it-IT"/>
              </w:rPr>
              <w:t>D</w:t>
            </w:r>
            <w:r w:rsidRPr="00772DE4">
              <w:rPr>
                <w:rFonts w:ascii="Garamond" w:eastAsia="Times New Roman" w:hAnsi="Garamond" w:cs="Times New Roman"/>
                <w:color w:val="000000"/>
                <w:lang w:eastAsia="it-IT"/>
              </w:rPr>
              <w:t>.</w:t>
            </w:r>
            <w:r w:rsidR="004037A1">
              <w:rPr>
                <w:rFonts w:ascii="Garamond" w:eastAsia="Times New Roman" w:hAnsi="Garamond" w:cs="Times New Roman"/>
                <w:color w:val="000000"/>
                <w:lang w:eastAsia="it-IT"/>
              </w:rPr>
              <w:t xml:space="preserve"> 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772DE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33" w:type="pct"/>
            <w:shd w:val="clear" w:color="auto" w:fill="auto"/>
            <w:vAlign w:val="center"/>
          </w:tcPr>
          <w:p w14:paraId="5BEACFA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A2D86D2"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F9A0CDE"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3EC6DA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7C77093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0385532" w14:textId="669BA788"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1C2946CB"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31F31" w:rsidRPr="00023F3C" w14:paraId="00495D88" w14:textId="77777777" w:rsidTr="00B277D2">
        <w:trPr>
          <w:trHeight w:val="605"/>
        </w:trPr>
        <w:tc>
          <w:tcPr>
            <w:tcW w:w="354" w:type="pct"/>
            <w:shd w:val="clear" w:color="auto" w:fill="auto"/>
            <w:vAlign w:val="center"/>
          </w:tcPr>
          <w:p w14:paraId="30A3278B" w14:textId="53F1F3DC"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01A7C">
              <w:rPr>
                <w:rFonts w:ascii="Garamond" w:eastAsia="Times New Roman" w:hAnsi="Garamond" w:cs="Times New Roman"/>
                <w:color w:val="000000"/>
                <w:lang w:eastAsia="it-IT"/>
              </w:rPr>
              <w:t>2</w:t>
            </w:r>
          </w:p>
        </w:tc>
        <w:tc>
          <w:tcPr>
            <w:tcW w:w="1371" w:type="pct"/>
            <w:shd w:val="clear" w:color="auto" w:fill="auto"/>
            <w:vAlign w:val="center"/>
          </w:tcPr>
          <w:p w14:paraId="2CD6F79C" w14:textId="1DE3052A" w:rsidR="00031F31" w:rsidRPr="00172C2C" w:rsidRDefault="00031F31" w:rsidP="00031F31">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Nei casi di modifica del contratto nelle situazioni di cui al comma 1, lettere b) e c), è stato pubblicato</w:t>
            </w:r>
            <w:r>
              <w:rPr>
                <w:rFonts w:ascii="Garamond" w:eastAsia="Times New Roman" w:hAnsi="Garamond" w:cs="Times New Roman"/>
                <w:color w:val="000000"/>
                <w:lang w:eastAsia="it-IT"/>
              </w:rPr>
              <w:t>,</w:t>
            </w:r>
            <w:r w:rsidRPr="00E61527">
              <w:rPr>
                <w:rFonts w:ascii="Garamond" w:eastAsia="Times New Roman" w:hAnsi="Garamond" w:cs="Times New Roman"/>
                <w:color w:val="000000"/>
                <w:lang w:eastAsia="it-IT"/>
              </w:rPr>
              <w:t xml:space="preserve">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E61527">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E6152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E61527">
              <w:rPr>
                <w:rFonts w:ascii="Garamond" w:eastAsia="Times New Roman" w:hAnsi="Garamond" w:cs="Times New Roman"/>
                <w:color w:val="000000"/>
                <w:lang w:eastAsia="it-IT"/>
              </w:rPr>
              <w:t xml:space="preserve"> un avviso con evidenza “in ambito nazionale”, nell'ipotesi di appalto sotto-soglia comunitaria?</w:t>
            </w:r>
          </w:p>
        </w:tc>
        <w:tc>
          <w:tcPr>
            <w:tcW w:w="133" w:type="pct"/>
            <w:shd w:val="clear" w:color="auto" w:fill="auto"/>
            <w:vAlign w:val="center"/>
          </w:tcPr>
          <w:p w14:paraId="4DE5D5F7"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54E4AB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794E3C3"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5F279CC"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691BCC36"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1237454E" w14:textId="668721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6D6A6BAB" w14:textId="77777777" w:rsidR="00031F31" w:rsidRDefault="00031F31" w:rsidP="00031F31">
            <w:pPr>
              <w:spacing w:after="0" w:line="240" w:lineRule="auto"/>
              <w:jc w:val="both"/>
              <w:rPr>
                <w:rFonts w:ascii="Garamond" w:eastAsia="Times New Roman" w:hAnsi="Garamond" w:cs="Times New Roman"/>
                <w:color w:val="000000"/>
                <w:lang w:eastAsia="it-IT"/>
              </w:rPr>
            </w:pPr>
          </w:p>
          <w:p w14:paraId="26B17104"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031F31" w:rsidRPr="00023F3C" w14:paraId="6929630D" w14:textId="77777777" w:rsidTr="00B277D2">
        <w:trPr>
          <w:trHeight w:val="605"/>
        </w:trPr>
        <w:tc>
          <w:tcPr>
            <w:tcW w:w="354" w:type="pct"/>
            <w:shd w:val="clear" w:color="auto" w:fill="auto"/>
            <w:vAlign w:val="center"/>
          </w:tcPr>
          <w:p w14:paraId="1995CAEE" w14:textId="1FF70E36"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01A7C">
              <w:rPr>
                <w:rFonts w:ascii="Garamond" w:eastAsia="Times New Roman" w:hAnsi="Garamond" w:cs="Times New Roman"/>
                <w:color w:val="000000"/>
                <w:lang w:eastAsia="it-IT"/>
              </w:rPr>
              <w:t>3</w:t>
            </w:r>
          </w:p>
        </w:tc>
        <w:tc>
          <w:tcPr>
            <w:tcW w:w="1371" w:type="pct"/>
            <w:shd w:val="clear" w:color="auto" w:fill="auto"/>
            <w:vAlign w:val="center"/>
          </w:tcPr>
          <w:p w14:paraId="2296B97F" w14:textId="65A8FD2C" w:rsidR="00031F31" w:rsidRPr="00172C2C" w:rsidRDefault="00031F31" w:rsidP="00031F31">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120,</w:t>
            </w:r>
            <w:r w:rsidRPr="00E36696">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5,</w:t>
            </w:r>
            <w:r w:rsidRPr="00E36696">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E36696">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E36696">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33" w:type="pct"/>
            <w:shd w:val="clear" w:color="auto" w:fill="auto"/>
            <w:vAlign w:val="center"/>
          </w:tcPr>
          <w:p w14:paraId="0B57055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4750CF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97E125A"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492E54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68EFF0B1"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0271D14C" w14:textId="33DE0EF1"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63770C8D"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31F31" w:rsidRPr="00023F3C" w14:paraId="715A5658" w14:textId="77777777" w:rsidTr="00B277D2">
        <w:trPr>
          <w:trHeight w:val="605"/>
        </w:trPr>
        <w:tc>
          <w:tcPr>
            <w:tcW w:w="354" w:type="pct"/>
            <w:shd w:val="clear" w:color="auto" w:fill="auto"/>
            <w:vAlign w:val="center"/>
          </w:tcPr>
          <w:p w14:paraId="73C9D4CB" w14:textId="78C53F3D"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B01A7C">
              <w:rPr>
                <w:rFonts w:ascii="Garamond" w:eastAsia="Times New Roman" w:hAnsi="Garamond" w:cs="Times New Roman"/>
                <w:color w:val="000000"/>
                <w:lang w:eastAsia="it-IT"/>
              </w:rPr>
              <w:t>4</w:t>
            </w:r>
          </w:p>
        </w:tc>
        <w:tc>
          <w:tcPr>
            <w:tcW w:w="1371" w:type="pct"/>
            <w:shd w:val="clear" w:color="auto" w:fill="auto"/>
            <w:vAlign w:val="center"/>
          </w:tcPr>
          <w:p w14:paraId="66EEB6DA" w14:textId="77777777" w:rsidR="00031F31" w:rsidRPr="00833B0A" w:rsidRDefault="00031F31" w:rsidP="00031F31">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w:t>
            </w:r>
            <w:r>
              <w:rPr>
                <w:rFonts w:ascii="Garamond" w:eastAsia="Times New Roman" w:hAnsi="Garamond" w:cs="Times New Roman"/>
                <w:color w:val="000000"/>
                <w:lang w:eastAsia="it-IT"/>
              </w:rPr>
              <w:t>’</w:t>
            </w:r>
            <w:r w:rsidRPr="00833B0A">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w:t>
            </w:r>
            <w:r w:rsidRPr="00833B0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833B0A">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l’</w:t>
            </w:r>
            <w:r>
              <w:rPr>
                <w:rFonts w:ascii="Garamond" w:eastAsia="Times New Roman" w:hAnsi="Garamond" w:cs="Times New Roman"/>
                <w:color w:val="000000"/>
                <w:lang w:eastAsia="it-IT"/>
              </w:rPr>
              <w:t>Amministrazione</w:t>
            </w:r>
            <w:r w:rsidRPr="00833B0A">
              <w:rPr>
                <w:rFonts w:ascii="Garamond" w:eastAsia="Times New Roman" w:hAnsi="Garamond" w:cs="Times New Roman"/>
                <w:color w:val="000000"/>
                <w:lang w:eastAsia="it-IT"/>
              </w:rPr>
              <w:t xml:space="preserve"> ha dato evidenza nell'istruttoria e nei provvedimenti adottati del fatto che il valore della modifica </w:t>
            </w:r>
            <w:proofErr w:type="gramStart"/>
            <w:r w:rsidRPr="00833B0A">
              <w:rPr>
                <w:rFonts w:ascii="Garamond" w:eastAsia="Times New Roman" w:hAnsi="Garamond" w:cs="Times New Roman"/>
                <w:color w:val="000000"/>
                <w:lang w:eastAsia="it-IT"/>
              </w:rPr>
              <w:t>sia</w:t>
            </w:r>
            <w:proofErr w:type="gramEnd"/>
            <w:r w:rsidRPr="00833B0A">
              <w:rPr>
                <w:rFonts w:ascii="Garamond" w:eastAsia="Times New Roman" w:hAnsi="Garamond" w:cs="Times New Roman"/>
                <w:color w:val="000000"/>
                <w:lang w:eastAsia="it-IT"/>
              </w:rPr>
              <w:t xml:space="preserve">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66FFE955" w14:textId="77777777" w:rsidR="00031F31" w:rsidRDefault="00031F31" w:rsidP="00031F31">
            <w:pPr>
              <w:pStyle w:val="ListParagraph"/>
              <w:numPr>
                <w:ilvl w:val="0"/>
                <w:numId w:val="34"/>
              </w:numPr>
              <w:spacing w:after="0" w:line="240" w:lineRule="auto"/>
              <w:jc w:val="both"/>
              <w:rPr>
                <w:rFonts w:ascii="Garamond" w:eastAsia="Times New Roman" w:hAnsi="Garamond" w:cs="Times New Roman"/>
                <w:color w:val="000000"/>
                <w:lang w:eastAsia="it-IT"/>
              </w:rPr>
            </w:pPr>
            <w:r w:rsidRPr="00886600">
              <w:rPr>
                <w:rFonts w:ascii="Garamond" w:eastAsia="Times New Roman" w:hAnsi="Garamond" w:cs="Times New Roman"/>
                <w:color w:val="000000"/>
                <w:lang w:eastAsia="it-IT"/>
              </w:rPr>
              <w:t>le soglie fissate all'articolo 14 del D. Lgs. 36/2023?</w:t>
            </w:r>
          </w:p>
          <w:p w14:paraId="20269C0D" w14:textId="177B0F1F" w:rsidR="00031F31" w:rsidRPr="00AF06CA" w:rsidRDefault="00031F31" w:rsidP="00031F31">
            <w:pPr>
              <w:pStyle w:val="ListParagraph"/>
              <w:numPr>
                <w:ilvl w:val="0"/>
                <w:numId w:val="34"/>
              </w:numPr>
              <w:spacing w:after="0" w:line="240" w:lineRule="auto"/>
              <w:jc w:val="both"/>
              <w:rPr>
                <w:rFonts w:ascii="Garamond" w:eastAsia="Times New Roman" w:hAnsi="Garamond" w:cs="Times New Roman"/>
                <w:color w:val="000000"/>
                <w:lang w:eastAsia="it-IT"/>
              </w:rPr>
            </w:pPr>
            <w:r w:rsidRPr="00AF06CA">
              <w:rPr>
                <w:rFonts w:ascii="Garamond" w:eastAsia="Times New Roman" w:hAnsi="Garamond" w:cs="Times New Roman"/>
                <w:color w:val="000000"/>
                <w:lang w:eastAsia="it-IT"/>
              </w:rPr>
              <w:t>il 15 per cento del valore iniziale del contratto?</w:t>
            </w:r>
          </w:p>
        </w:tc>
        <w:tc>
          <w:tcPr>
            <w:tcW w:w="133" w:type="pct"/>
            <w:shd w:val="clear" w:color="auto" w:fill="auto"/>
            <w:vAlign w:val="center"/>
          </w:tcPr>
          <w:p w14:paraId="043D6622"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283EC2F"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5A08AC00"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19BB6F8B" w14:textId="77777777"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662" w:type="pct"/>
          </w:tcPr>
          <w:p w14:paraId="2BACB9F9"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N.B. Dal 31 dicembre 2024, ai sensi del Decreto correttivo (D. Lgs. 209/2024), è stata fornita una specifica delle modifiche non sostanziali alla luce del quale “Non sono considerate sostanziali, fermi restando i limiti derivanti dalle somme a </w:t>
            </w:r>
          </w:p>
          <w:p w14:paraId="1C6747A0"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disposizione del quadro economico e dalle previsioni di cui alle lettere a) b) e c) del comma </w:t>
            </w:r>
          </w:p>
          <w:p w14:paraId="41337827"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6, le modifiche al progetto o le modifiche contrattuali proposte dalla stazione appaltante </w:t>
            </w:r>
          </w:p>
          <w:p w14:paraId="6E953E64"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ovvero dall'appaltatore con le quali, nel rispetto della funzionalità dell'opera: </w:t>
            </w:r>
          </w:p>
          <w:p w14:paraId="6E877471"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a) si assicurino risparmi, rispetto alle previsioni iniziali, da </w:t>
            </w:r>
            <w:r w:rsidRPr="009B3DB9">
              <w:rPr>
                <w:rFonts w:ascii="Garamond" w:eastAsia="Times New Roman" w:hAnsi="Garamond" w:cs="Times New Roman"/>
                <w:color w:val="2F5496" w:themeColor="accent1" w:themeShade="BF"/>
                <w:lang w:eastAsia="it-IT"/>
              </w:rPr>
              <w:lastRenderedPageBreak/>
              <w:t xml:space="preserve">utilizzare in compensazione </w:t>
            </w:r>
          </w:p>
          <w:p w14:paraId="5D8B0577"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per far fronte alle variazioni in aumento dei costi delle lavorazioni; </w:t>
            </w:r>
          </w:p>
          <w:p w14:paraId="395D8E28"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b) si realizzino soluzioni equivalenti o migliorative in termini economici, tecnici o di </w:t>
            </w:r>
          </w:p>
          <w:p w14:paraId="55236BE6"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tempi di ultimazione dell'opera, ivi compresa la sopravvenuta possibilità di utilizzo di </w:t>
            </w:r>
          </w:p>
          <w:p w14:paraId="4AEF2873"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materiali, componenti o tecnologie non esistenti al momento della progettazione che possono </w:t>
            </w:r>
          </w:p>
          <w:p w14:paraId="53EFB212"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determinare, senza incremento dei costi, significativi miglioramenti nella qualità dell'opera o </w:t>
            </w:r>
          </w:p>
          <w:p w14:paraId="2D8F44C4"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di parte di essa, o riduzione dei tempi di ultimazione; </w:t>
            </w:r>
          </w:p>
          <w:p w14:paraId="6C4DE014"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lastRenderedPageBreak/>
              <w:t xml:space="preserve">c) gli interventi imposti dal direttore dei lavori per la soluzione di questioni tecniche </w:t>
            </w:r>
          </w:p>
          <w:p w14:paraId="029A470C" w14:textId="77777777" w:rsidR="009B3DB9" w:rsidRPr="009B3DB9" w:rsidRDefault="009B3DB9" w:rsidP="009B3DB9">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 xml:space="preserve">emerse nell'esecuzione dei lavori che possano essere finanziali con le risorse iscritte nel </w:t>
            </w:r>
          </w:p>
          <w:p w14:paraId="35904304" w14:textId="39C32581" w:rsidR="00031F31" w:rsidRPr="009B3DB9" w:rsidRDefault="009B3DB9" w:rsidP="00031F31">
            <w:pPr>
              <w:spacing w:after="0" w:line="240" w:lineRule="auto"/>
              <w:jc w:val="both"/>
              <w:rPr>
                <w:rFonts w:ascii="Garamond" w:eastAsia="Times New Roman" w:hAnsi="Garamond" w:cs="Times New Roman"/>
                <w:color w:val="2F5496" w:themeColor="accent1" w:themeShade="BF"/>
                <w:lang w:eastAsia="it-IT"/>
              </w:rPr>
            </w:pPr>
            <w:r w:rsidRPr="009B3DB9">
              <w:rPr>
                <w:rFonts w:ascii="Garamond" w:eastAsia="Times New Roman" w:hAnsi="Garamond" w:cs="Times New Roman"/>
                <w:color w:val="2F5496" w:themeColor="accent1" w:themeShade="BF"/>
                <w:lang w:eastAsia="it-IT"/>
              </w:rPr>
              <w:t>quadro economico dell'opera”.</w:t>
            </w:r>
          </w:p>
        </w:tc>
        <w:tc>
          <w:tcPr>
            <w:tcW w:w="399" w:type="pct"/>
            <w:shd w:val="clear" w:color="auto" w:fill="auto"/>
            <w:vAlign w:val="center"/>
          </w:tcPr>
          <w:p w14:paraId="46B2DE6B" w14:textId="3793A0E5" w:rsidR="00031F31" w:rsidRPr="00023F3C" w:rsidRDefault="00031F31" w:rsidP="00031F31">
            <w:pPr>
              <w:spacing w:after="0" w:line="240" w:lineRule="auto"/>
              <w:jc w:val="both"/>
              <w:rPr>
                <w:rFonts w:ascii="Garamond" w:eastAsia="Times New Roman" w:hAnsi="Garamond" w:cs="Times New Roman"/>
                <w:b/>
                <w:bCs/>
                <w:color w:val="000000"/>
                <w:lang w:eastAsia="it-IT"/>
              </w:rPr>
            </w:pPr>
          </w:p>
        </w:tc>
        <w:tc>
          <w:tcPr>
            <w:tcW w:w="1151" w:type="pct"/>
            <w:vAlign w:val="center"/>
          </w:tcPr>
          <w:p w14:paraId="570B8E2E" w14:textId="77777777" w:rsidR="00031F31" w:rsidRPr="00522B0F" w:rsidRDefault="00031F31" w:rsidP="00031F3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031F31" w:rsidRPr="00023F3C" w14:paraId="0CF6F1C9" w14:textId="77777777" w:rsidTr="00B277D2">
        <w:trPr>
          <w:trHeight w:val="605"/>
        </w:trPr>
        <w:tc>
          <w:tcPr>
            <w:tcW w:w="354" w:type="pct"/>
            <w:shd w:val="clear" w:color="auto" w:fill="auto"/>
            <w:vAlign w:val="center"/>
          </w:tcPr>
          <w:p w14:paraId="31AF73CB" w14:textId="30241DD8"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B01A7C">
              <w:rPr>
                <w:rFonts w:ascii="Garamond" w:eastAsia="Times New Roman" w:hAnsi="Garamond" w:cs="Times New Roman"/>
                <w:color w:val="000000"/>
                <w:lang w:eastAsia="it-IT"/>
              </w:rPr>
              <w:t>5</w:t>
            </w:r>
          </w:p>
        </w:tc>
        <w:tc>
          <w:tcPr>
            <w:tcW w:w="1371" w:type="pct"/>
            <w:shd w:val="clear" w:color="auto" w:fill="auto"/>
            <w:vAlign w:val="center"/>
          </w:tcPr>
          <w:p w14:paraId="32F9F61C" w14:textId="26965B0C" w:rsidR="00031F31" w:rsidRPr="00172C2C" w:rsidRDefault="00031F31" w:rsidP="00926849">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4C1273">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120 del D</w:t>
            </w:r>
            <w:r w:rsidRPr="004C1273">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 xml:space="preserve">5, comma 11, dell’Allegato II.14 al </w:t>
            </w:r>
            <w:r w:rsidR="00421466">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421466">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w:t>
            </w:r>
            <w:r w:rsidRPr="004C1273">
              <w:rPr>
                <w:rFonts w:ascii="Garamond" w:eastAsia="Times New Roman" w:hAnsi="Garamond" w:cs="Times New Roman"/>
                <w:color w:val="000000"/>
                <w:lang w:eastAsia="it-IT"/>
              </w:rPr>
              <w:t>)?</w:t>
            </w:r>
          </w:p>
        </w:tc>
        <w:tc>
          <w:tcPr>
            <w:tcW w:w="133" w:type="pct"/>
            <w:shd w:val="clear" w:color="auto" w:fill="auto"/>
            <w:vAlign w:val="center"/>
          </w:tcPr>
          <w:p w14:paraId="3A634EF6"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ED91574"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918ADB3"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2CC8C77"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662" w:type="pct"/>
          </w:tcPr>
          <w:p w14:paraId="491D8390" w14:textId="77777777" w:rsidR="00031F31" w:rsidRPr="009B3DB9" w:rsidRDefault="00031F31" w:rsidP="00926849">
            <w:pPr>
              <w:spacing w:after="0" w:line="240" w:lineRule="auto"/>
              <w:jc w:val="both"/>
              <w:rPr>
                <w:rFonts w:ascii="Garamond" w:eastAsia="Times New Roman" w:hAnsi="Garamond" w:cs="Times New Roman"/>
                <w:color w:val="2F5496" w:themeColor="accent1" w:themeShade="BF"/>
                <w:lang w:eastAsia="it-IT"/>
              </w:rPr>
            </w:pPr>
          </w:p>
        </w:tc>
        <w:tc>
          <w:tcPr>
            <w:tcW w:w="399" w:type="pct"/>
            <w:shd w:val="clear" w:color="auto" w:fill="auto"/>
            <w:vAlign w:val="center"/>
          </w:tcPr>
          <w:p w14:paraId="7C355BF0" w14:textId="734F6D35"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151" w:type="pct"/>
            <w:vAlign w:val="center"/>
          </w:tcPr>
          <w:p w14:paraId="2614F490" w14:textId="77777777" w:rsidR="00031F31" w:rsidRPr="00522B0F" w:rsidRDefault="00031F31" w:rsidP="0092684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031F31" w:rsidRPr="00023F3C" w14:paraId="44EE682A" w14:textId="77777777" w:rsidTr="00B277D2">
        <w:trPr>
          <w:trHeight w:val="605"/>
        </w:trPr>
        <w:tc>
          <w:tcPr>
            <w:tcW w:w="354" w:type="pct"/>
            <w:shd w:val="clear" w:color="auto" w:fill="auto"/>
            <w:vAlign w:val="center"/>
          </w:tcPr>
          <w:p w14:paraId="78A66BB5" w14:textId="48BC6F54"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01A7C">
              <w:rPr>
                <w:rFonts w:ascii="Garamond" w:eastAsia="Times New Roman" w:hAnsi="Garamond" w:cs="Times New Roman"/>
                <w:color w:val="000000"/>
                <w:lang w:eastAsia="it-IT"/>
              </w:rPr>
              <w:t>6</w:t>
            </w:r>
          </w:p>
        </w:tc>
        <w:tc>
          <w:tcPr>
            <w:tcW w:w="1371" w:type="pct"/>
            <w:shd w:val="clear" w:color="auto" w:fill="auto"/>
            <w:vAlign w:val="center"/>
          </w:tcPr>
          <w:p w14:paraId="237EE7BB" w14:textId="2F4FA067" w:rsidR="00031F31" w:rsidRPr="00172C2C" w:rsidRDefault="00031F31" w:rsidP="00926849">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 xml:space="preserve">120, comma 9, del </w:t>
            </w:r>
            <w:r w:rsidR="00421466">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421466">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33" w:type="pct"/>
            <w:shd w:val="clear" w:color="auto" w:fill="auto"/>
            <w:vAlign w:val="center"/>
          </w:tcPr>
          <w:p w14:paraId="568CB6D7"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F4F4200"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EA3E96B"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13E8B9C"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662" w:type="pct"/>
          </w:tcPr>
          <w:p w14:paraId="56C65579"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77E9C10" w14:textId="3134EF1F"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151" w:type="pct"/>
            <w:vAlign w:val="center"/>
          </w:tcPr>
          <w:p w14:paraId="2F35FB17" w14:textId="0501BEC8" w:rsidR="00031F31" w:rsidRPr="00522B0F" w:rsidRDefault="00031F31" w:rsidP="00926849">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031F31" w:rsidRPr="00023F3C" w14:paraId="695E9693" w14:textId="77777777" w:rsidTr="00B277D2">
        <w:trPr>
          <w:trHeight w:val="605"/>
        </w:trPr>
        <w:tc>
          <w:tcPr>
            <w:tcW w:w="354" w:type="pct"/>
            <w:shd w:val="clear" w:color="auto" w:fill="auto"/>
            <w:vAlign w:val="center"/>
          </w:tcPr>
          <w:p w14:paraId="091EDFB0" w14:textId="465F7A67"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01A7C">
              <w:rPr>
                <w:rFonts w:ascii="Garamond" w:eastAsia="Times New Roman" w:hAnsi="Garamond" w:cs="Times New Roman"/>
                <w:color w:val="000000"/>
                <w:lang w:eastAsia="it-IT"/>
              </w:rPr>
              <w:t>7</w:t>
            </w:r>
          </w:p>
        </w:tc>
        <w:tc>
          <w:tcPr>
            <w:tcW w:w="1371" w:type="pct"/>
            <w:shd w:val="clear" w:color="auto" w:fill="auto"/>
            <w:vAlign w:val="center"/>
          </w:tcPr>
          <w:p w14:paraId="007820E8" w14:textId="139A4D74" w:rsidR="00031F31" w:rsidRPr="00172C2C" w:rsidRDefault="00031F31" w:rsidP="00926849">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diminuzione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w:t>
            </w:r>
            <w:r w:rsidR="00421466">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421466">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 xml:space="preserve">gs. 36/2023? </w:t>
            </w:r>
          </w:p>
        </w:tc>
        <w:tc>
          <w:tcPr>
            <w:tcW w:w="133" w:type="pct"/>
            <w:shd w:val="clear" w:color="auto" w:fill="auto"/>
            <w:vAlign w:val="center"/>
          </w:tcPr>
          <w:p w14:paraId="1B932014"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64250CB"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922638F"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7524515"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662" w:type="pct"/>
          </w:tcPr>
          <w:p w14:paraId="224FD5C8"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A311231" w14:textId="2E7A3BAB"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151" w:type="pct"/>
            <w:vAlign w:val="center"/>
          </w:tcPr>
          <w:p w14:paraId="2793BA4B" w14:textId="77777777" w:rsidR="00031F31" w:rsidRPr="00522B0F" w:rsidRDefault="00031F31" w:rsidP="00926849">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tc>
      </w:tr>
      <w:tr w:rsidR="00031F31" w:rsidRPr="00023F3C" w14:paraId="2D452B4D" w14:textId="77777777" w:rsidTr="00B277D2">
        <w:trPr>
          <w:trHeight w:val="605"/>
        </w:trPr>
        <w:tc>
          <w:tcPr>
            <w:tcW w:w="354" w:type="pct"/>
            <w:shd w:val="clear" w:color="auto" w:fill="auto"/>
            <w:vAlign w:val="center"/>
          </w:tcPr>
          <w:p w14:paraId="6CC3829B" w14:textId="68E62D2F"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B01A7C">
              <w:rPr>
                <w:rFonts w:ascii="Garamond" w:eastAsia="Times New Roman" w:hAnsi="Garamond" w:cs="Times New Roman"/>
                <w:color w:val="000000"/>
                <w:lang w:eastAsia="it-IT"/>
              </w:rPr>
              <w:t>8</w:t>
            </w:r>
          </w:p>
        </w:tc>
        <w:tc>
          <w:tcPr>
            <w:tcW w:w="1371" w:type="pct"/>
            <w:shd w:val="clear" w:color="auto" w:fill="auto"/>
            <w:vAlign w:val="center"/>
          </w:tcPr>
          <w:p w14:paraId="23766228" w14:textId="6DD8AD75" w:rsidR="00031F31" w:rsidRPr="00D47024" w:rsidRDefault="00031F31" w:rsidP="00926849">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w:t>
            </w:r>
            <w:r w:rsidRPr="006357C1">
              <w:rPr>
                <w:rFonts w:ascii="Garamond" w:eastAsia="Times New Roman" w:hAnsi="Garamond" w:cs="Times New Roman"/>
                <w:color w:val="000000"/>
                <w:lang w:eastAsia="it-IT"/>
              </w:rPr>
              <w:lastRenderedPageBreak/>
              <w:t xml:space="preserve">di gara era prevista una opzione di proroga (art. </w:t>
            </w:r>
            <w:r>
              <w:rPr>
                <w:rFonts w:ascii="Garamond" w:eastAsia="Times New Roman" w:hAnsi="Garamond" w:cs="Times New Roman"/>
                <w:color w:val="000000"/>
                <w:lang w:eastAsia="it-IT"/>
              </w:rPr>
              <w:t>120,</w:t>
            </w:r>
            <w:r w:rsidRPr="006357C1">
              <w:rPr>
                <w:rFonts w:ascii="Garamond" w:eastAsia="Times New Roman" w:hAnsi="Garamond" w:cs="Times New Roman"/>
                <w:color w:val="000000"/>
                <w:lang w:eastAsia="it-IT"/>
              </w:rPr>
              <w:t xml:space="preserve"> co</w:t>
            </w:r>
            <w:r>
              <w:rPr>
                <w:rFonts w:ascii="Garamond" w:eastAsia="Times New Roman" w:hAnsi="Garamond" w:cs="Times New Roman"/>
                <w:color w:val="000000"/>
                <w:lang w:eastAsia="it-IT"/>
              </w:rPr>
              <w:t xml:space="preserve">mma </w:t>
            </w:r>
            <w:r w:rsidRPr="006357C1">
              <w:rPr>
                <w:rFonts w:ascii="Garamond" w:eastAsia="Times New Roman" w:hAnsi="Garamond" w:cs="Times New Roman"/>
                <w:color w:val="000000"/>
                <w:lang w:eastAsia="it-IT"/>
              </w:rPr>
              <w:t>1</w:t>
            </w:r>
            <w:r>
              <w:rPr>
                <w:rFonts w:ascii="Garamond" w:eastAsia="Times New Roman" w:hAnsi="Garamond" w:cs="Times New Roman"/>
                <w:color w:val="000000"/>
                <w:lang w:eastAsia="it-IT"/>
              </w:rPr>
              <w:t>0,</w:t>
            </w:r>
            <w:r w:rsidRPr="006357C1">
              <w:rPr>
                <w:rFonts w:ascii="Garamond" w:eastAsia="Times New Roman" w:hAnsi="Garamond" w:cs="Times New Roman"/>
                <w:color w:val="000000"/>
                <w:lang w:eastAsia="it-IT"/>
              </w:rPr>
              <w:t xml:space="preserve"> del </w:t>
            </w:r>
            <w:r w:rsidR="00421466">
              <w:rPr>
                <w:rFonts w:ascii="Garamond" w:eastAsia="Times New Roman" w:hAnsi="Garamond" w:cs="Times New Roman"/>
                <w:color w:val="000000"/>
                <w:lang w:eastAsia="it-IT"/>
              </w:rPr>
              <w:t>D</w:t>
            </w:r>
            <w:r w:rsidRPr="006357C1">
              <w:rPr>
                <w:rFonts w:ascii="Garamond" w:eastAsia="Times New Roman" w:hAnsi="Garamond" w:cs="Times New Roman"/>
                <w:color w:val="000000"/>
                <w:lang w:eastAsia="it-IT"/>
              </w:rPr>
              <w:t>.</w:t>
            </w:r>
            <w:r w:rsidR="00421466">
              <w:rPr>
                <w:rFonts w:ascii="Garamond" w:eastAsia="Times New Roman" w:hAnsi="Garamond" w:cs="Times New Roman"/>
                <w:color w:val="000000"/>
                <w:lang w:eastAsia="it-IT"/>
              </w:rPr>
              <w:t xml:space="preserve"> L</w:t>
            </w:r>
            <w:r w:rsidRPr="006357C1">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6357C1">
              <w:rPr>
                <w:rFonts w:ascii="Garamond" w:eastAsia="Times New Roman" w:hAnsi="Garamond" w:cs="Times New Roman"/>
                <w:color w:val="000000"/>
                <w:lang w:eastAsia="it-IT"/>
              </w:rPr>
              <w:t>)?</w:t>
            </w:r>
          </w:p>
        </w:tc>
        <w:tc>
          <w:tcPr>
            <w:tcW w:w="133" w:type="pct"/>
            <w:shd w:val="clear" w:color="auto" w:fill="auto"/>
            <w:vAlign w:val="center"/>
          </w:tcPr>
          <w:p w14:paraId="0FA0571A"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153A2743"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300EC42"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574A5A7"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662" w:type="pct"/>
          </w:tcPr>
          <w:p w14:paraId="5337FAF1"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6703ACF1" w14:textId="2E2EC493"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151" w:type="pct"/>
            <w:vAlign w:val="center"/>
          </w:tcPr>
          <w:p w14:paraId="130E7903" w14:textId="77777777" w:rsidR="00031F31" w:rsidRPr="00977279" w:rsidRDefault="00031F31" w:rsidP="00031F31">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Documentazione di gara</w:t>
            </w:r>
          </w:p>
        </w:tc>
      </w:tr>
      <w:tr w:rsidR="00031F31" w:rsidRPr="00023F3C" w14:paraId="61C7E1E4" w14:textId="77777777" w:rsidTr="00B277D2">
        <w:trPr>
          <w:trHeight w:val="605"/>
        </w:trPr>
        <w:tc>
          <w:tcPr>
            <w:tcW w:w="354" w:type="pct"/>
            <w:shd w:val="clear" w:color="auto" w:fill="auto"/>
            <w:vAlign w:val="center"/>
          </w:tcPr>
          <w:p w14:paraId="1D38D5D4" w14:textId="00E9E9BA" w:rsidR="00031F31" w:rsidRDefault="00B01A7C"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371" w:type="pct"/>
            <w:shd w:val="clear" w:color="auto" w:fill="auto"/>
            <w:vAlign w:val="center"/>
          </w:tcPr>
          <w:p w14:paraId="597D621D" w14:textId="64B23600" w:rsidR="00031F31" w:rsidRDefault="00031F31" w:rsidP="00926849">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Nel caso in cui si sia reso necessario prorogare il contratto con l’Appaltatore uscente ai sensi dell’art. 120, comma 11, del </w:t>
            </w:r>
            <w:r w:rsidR="00421466">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421466">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 si è verificato che:</w:t>
            </w:r>
          </w:p>
          <w:p w14:paraId="3A29EAF2" w14:textId="77777777" w:rsidR="00031F31" w:rsidRDefault="00031F31" w:rsidP="00926849">
            <w:pPr>
              <w:pStyle w:val="ListParagraph"/>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p>
          <w:p w14:paraId="133B44CC" w14:textId="695C3C79" w:rsidR="00031F31" w:rsidRPr="00B84D2B" w:rsidRDefault="00031F31" w:rsidP="00926849">
            <w:pPr>
              <w:pStyle w:val="ListParagraph"/>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286FD67F" w14:textId="7861A7A3" w:rsidR="00031F31" w:rsidRPr="00B84D2B" w:rsidRDefault="00031F31" w:rsidP="00926849">
            <w:pPr>
              <w:pStyle w:val="ListParagraph"/>
              <w:numPr>
                <w:ilvl w:val="0"/>
                <w:numId w:val="17"/>
              </w:numPr>
              <w:spacing w:after="0" w:line="240" w:lineRule="auto"/>
              <w:jc w:val="both"/>
              <w:rPr>
                <w:rFonts w:ascii="Garamond" w:eastAsia="Times New Roman" w:hAnsi="Garamond" w:cs="Times New Roman"/>
                <w:color w:val="000000"/>
                <w:lang w:eastAsia="it-IT"/>
              </w:rPr>
            </w:pPr>
            <w:r w:rsidRPr="00B84D2B">
              <w:rPr>
                <w:rFonts w:ascii="Garamond" w:eastAsia="Times New Roman" w:hAnsi="Garamond" w:cs="Times New Roman"/>
                <w:color w:val="000000"/>
                <w:lang w:eastAsia="it-IT"/>
              </w:rPr>
              <w:t>l’interruzione delle prestazioni può determinare situazioni di pericolo per persone, animali, cose, oppure per l’igiene pubblica ovvero potrebbe determinare un grave danno all’interesse pubblico?</w:t>
            </w:r>
          </w:p>
        </w:tc>
        <w:tc>
          <w:tcPr>
            <w:tcW w:w="133" w:type="pct"/>
            <w:shd w:val="clear" w:color="auto" w:fill="auto"/>
            <w:vAlign w:val="center"/>
          </w:tcPr>
          <w:p w14:paraId="65848D9E"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2939CB2E"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93462F4"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9C4E9CE"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662" w:type="pct"/>
          </w:tcPr>
          <w:p w14:paraId="21E24DE0"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724A6265" w14:textId="2B561EA4"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151" w:type="pct"/>
            <w:vAlign w:val="center"/>
          </w:tcPr>
          <w:p w14:paraId="2AAD9F60" w14:textId="5DF0752B" w:rsidR="00031F31" w:rsidRPr="00977279" w:rsidRDefault="00031F31" w:rsidP="00031F31">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031F31" w:rsidRPr="00023F3C" w14:paraId="4A531ACE" w14:textId="77777777" w:rsidTr="00B277D2">
        <w:trPr>
          <w:trHeight w:val="605"/>
        </w:trPr>
        <w:tc>
          <w:tcPr>
            <w:tcW w:w="354" w:type="pct"/>
            <w:shd w:val="clear" w:color="auto" w:fill="auto"/>
            <w:vAlign w:val="center"/>
          </w:tcPr>
          <w:p w14:paraId="6DDE3A45" w14:textId="3FDD63ED" w:rsidR="00031F31" w:rsidRDefault="00031F31" w:rsidP="00031F3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01A7C">
              <w:rPr>
                <w:rFonts w:ascii="Garamond" w:eastAsia="Times New Roman" w:hAnsi="Garamond" w:cs="Times New Roman"/>
                <w:color w:val="000000"/>
                <w:lang w:eastAsia="it-IT"/>
              </w:rPr>
              <w:t>0</w:t>
            </w:r>
          </w:p>
        </w:tc>
        <w:tc>
          <w:tcPr>
            <w:tcW w:w="1371" w:type="pct"/>
            <w:shd w:val="clear" w:color="auto" w:fill="auto"/>
            <w:vAlign w:val="center"/>
          </w:tcPr>
          <w:p w14:paraId="2990F91F" w14:textId="77777777" w:rsidR="00031F31" w:rsidRPr="00926849" w:rsidRDefault="00031F31" w:rsidP="00926849">
            <w:pPr>
              <w:spacing w:after="0" w:line="240" w:lineRule="auto"/>
              <w:jc w:val="both"/>
              <w:rPr>
                <w:rFonts w:ascii="Garamond" w:eastAsia="Times New Roman" w:hAnsi="Garamond" w:cs="Times New Roman"/>
                <w:lang w:eastAsia="it-IT"/>
              </w:rPr>
            </w:pPr>
            <w:r w:rsidRPr="00926849">
              <w:rPr>
                <w:rFonts w:ascii="Garamond" w:eastAsia="Times New Roman" w:hAnsi="Garamond" w:cs="Times New Roman"/>
                <w:lang w:eastAsia="it-IT"/>
              </w:rPr>
              <w:t>Si è reso necessario procedere alla rinegoziazione del contratto?</w:t>
            </w:r>
          </w:p>
          <w:p w14:paraId="39B1ED95" w14:textId="77777777" w:rsidR="00031F31" w:rsidRPr="00926849" w:rsidRDefault="00031F31" w:rsidP="00926849">
            <w:pPr>
              <w:spacing w:after="0" w:line="240" w:lineRule="auto"/>
              <w:jc w:val="both"/>
              <w:rPr>
                <w:rFonts w:ascii="Garamond" w:eastAsia="Times New Roman" w:hAnsi="Garamond" w:cs="Times New Roman"/>
                <w:lang w:eastAsia="it-IT"/>
              </w:rPr>
            </w:pPr>
            <w:r w:rsidRPr="00926849">
              <w:rPr>
                <w:rFonts w:ascii="Garamond" w:eastAsia="Times New Roman" w:hAnsi="Garamond" w:cs="Times New Roman"/>
                <w:lang w:eastAsia="it-IT"/>
              </w:rPr>
              <w:t>In tale caso:</w:t>
            </w:r>
          </w:p>
          <w:p w14:paraId="1517F03F" w14:textId="530CA576" w:rsidR="00031F31" w:rsidRPr="00926849" w:rsidRDefault="00031F31" w:rsidP="00926849">
            <w:pPr>
              <w:pStyle w:val="ListParagraph"/>
              <w:numPr>
                <w:ilvl w:val="0"/>
                <w:numId w:val="18"/>
              </w:numPr>
              <w:spacing w:after="0" w:line="240" w:lineRule="auto"/>
              <w:jc w:val="both"/>
              <w:rPr>
                <w:rFonts w:ascii="Garamond" w:eastAsia="Times New Roman" w:hAnsi="Garamond" w:cs="Times New Roman"/>
                <w:lang w:eastAsia="it-IT"/>
              </w:rPr>
            </w:pPr>
            <w:r w:rsidRPr="00926849">
              <w:rPr>
                <w:rFonts w:ascii="Garamond" w:eastAsia="Times New Roman" w:hAnsi="Garamond" w:cs="Times New Roman"/>
                <w:lang w:eastAsia="it-IT"/>
              </w:rPr>
              <w:t xml:space="preserve">è presente la specifica clausola di rinegoziazione redatta ai sensi dell’art. 9 del </w:t>
            </w:r>
            <w:r w:rsidR="00421466">
              <w:rPr>
                <w:rFonts w:ascii="Garamond" w:eastAsia="Times New Roman" w:hAnsi="Garamond" w:cs="Times New Roman"/>
                <w:lang w:eastAsia="it-IT"/>
              </w:rPr>
              <w:t>D</w:t>
            </w:r>
            <w:r w:rsidRPr="00926849">
              <w:rPr>
                <w:rFonts w:ascii="Garamond" w:eastAsia="Times New Roman" w:hAnsi="Garamond" w:cs="Times New Roman"/>
                <w:lang w:eastAsia="it-IT"/>
              </w:rPr>
              <w:t>.</w:t>
            </w:r>
            <w:r w:rsidR="00421466">
              <w:rPr>
                <w:rFonts w:ascii="Garamond" w:eastAsia="Times New Roman" w:hAnsi="Garamond" w:cs="Times New Roman"/>
                <w:lang w:eastAsia="it-IT"/>
              </w:rPr>
              <w:t xml:space="preserve"> L</w:t>
            </w:r>
            <w:r w:rsidRPr="00926849">
              <w:rPr>
                <w:rFonts w:ascii="Garamond" w:eastAsia="Times New Roman" w:hAnsi="Garamond" w:cs="Times New Roman"/>
                <w:lang w:eastAsia="it-IT"/>
              </w:rPr>
              <w:t>gs. 36/2023?</w:t>
            </w:r>
          </w:p>
          <w:p w14:paraId="016E4C6D" w14:textId="274D1391" w:rsidR="00031F31" w:rsidRPr="00926849" w:rsidRDefault="00031F31" w:rsidP="00926849">
            <w:pPr>
              <w:pStyle w:val="ListParagraph"/>
              <w:numPr>
                <w:ilvl w:val="0"/>
                <w:numId w:val="18"/>
              </w:numPr>
              <w:spacing w:after="0" w:line="240" w:lineRule="auto"/>
              <w:jc w:val="both"/>
              <w:rPr>
                <w:rFonts w:ascii="Garamond" w:eastAsia="Times New Roman" w:hAnsi="Garamond" w:cs="Times New Roman"/>
                <w:lang w:eastAsia="it-IT"/>
              </w:rPr>
            </w:pPr>
            <w:r w:rsidRPr="00926849">
              <w:rPr>
                <w:rFonts w:ascii="Garamond" w:eastAsia="Times New Roman" w:hAnsi="Garamond" w:cs="Times New Roman"/>
                <w:lang w:eastAsia="it-IT"/>
              </w:rPr>
              <w:t>sono state rispettate le tempistiche di cui all’art. 120, comma 8, del d.lgs. 36/2023?</w:t>
            </w:r>
          </w:p>
        </w:tc>
        <w:tc>
          <w:tcPr>
            <w:tcW w:w="133" w:type="pct"/>
            <w:shd w:val="clear" w:color="auto" w:fill="auto"/>
            <w:vAlign w:val="center"/>
          </w:tcPr>
          <w:p w14:paraId="7F769FAD" w14:textId="77777777" w:rsidR="00031F31" w:rsidRPr="00926849" w:rsidRDefault="00031F31" w:rsidP="00926849">
            <w:pPr>
              <w:spacing w:after="0" w:line="240" w:lineRule="auto"/>
              <w:jc w:val="both"/>
              <w:rPr>
                <w:rFonts w:ascii="Garamond" w:eastAsia="Times New Roman" w:hAnsi="Garamond" w:cs="Times New Roman"/>
                <w:b/>
                <w:bCs/>
                <w:lang w:eastAsia="it-IT"/>
              </w:rPr>
            </w:pPr>
          </w:p>
        </w:tc>
        <w:tc>
          <w:tcPr>
            <w:tcW w:w="177" w:type="pct"/>
            <w:shd w:val="clear" w:color="auto" w:fill="auto"/>
            <w:vAlign w:val="center"/>
          </w:tcPr>
          <w:p w14:paraId="04D8A4E4"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63A7335"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B626A76"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662" w:type="pct"/>
          </w:tcPr>
          <w:p w14:paraId="1A0C4BD4" w14:textId="77777777"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99AD8CE" w14:textId="21E645B1" w:rsidR="00031F31" w:rsidRPr="00023F3C" w:rsidRDefault="00031F31" w:rsidP="00926849">
            <w:pPr>
              <w:spacing w:after="0" w:line="240" w:lineRule="auto"/>
              <w:jc w:val="both"/>
              <w:rPr>
                <w:rFonts w:ascii="Garamond" w:eastAsia="Times New Roman" w:hAnsi="Garamond" w:cs="Times New Roman"/>
                <w:b/>
                <w:bCs/>
                <w:color w:val="000000"/>
                <w:lang w:eastAsia="it-IT"/>
              </w:rPr>
            </w:pPr>
          </w:p>
        </w:tc>
        <w:tc>
          <w:tcPr>
            <w:tcW w:w="1151" w:type="pct"/>
            <w:vAlign w:val="center"/>
          </w:tcPr>
          <w:p w14:paraId="247C298F" w14:textId="1EABDE36" w:rsidR="00031F31" w:rsidRPr="00977279" w:rsidRDefault="00031F31" w:rsidP="00031F31">
            <w:pPr>
              <w:spacing w:after="0" w:line="240" w:lineRule="auto"/>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gara</w:t>
            </w:r>
          </w:p>
        </w:tc>
      </w:tr>
      <w:tr w:rsidR="00D83871" w:rsidRPr="00023F3C" w14:paraId="68D2F740" w14:textId="77777777" w:rsidTr="006A0021">
        <w:trPr>
          <w:trHeight w:val="605"/>
        </w:trPr>
        <w:tc>
          <w:tcPr>
            <w:tcW w:w="354" w:type="pct"/>
            <w:shd w:val="clear" w:color="auto" w:fill="auto"/>
            <w:vAlign w:val="center"/>
          </w:tcPr>
          <w:p w14:paraId="4FBE23C2" w14:textId="1EE8CC69" w:rsidR="00D83871" w:rsidRDefault="00D83871" w:rsidP="00D8387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r w:rsidR="00B01A7C">
              <w:rPr>
                <w:rFonts w:ascii="Garamond" w:eastAsia="Times New Roman" w:hAnsi="Garamond" w:cs="Times New Roman"/>
                <w:color w:val="000000"/>
                <w:lang w:eastAsia="it-IT"/>
              </w:rPr>
              <w:t>1</w:t>
            </w:r>
          </w:p>
        </w:tc>
        <w:tc>
          <w:tcPr>
            <w:tcW w:w="1371" w:type="pct"/>
            <w:shd w:val="clear" w:color="auto" w:fill="auto"/>
            <w:vAlign w:val="center"/>
          </w:tcPr>
          <w:p w14:paraId="4C6EAC75" w14:textId="09C1A821" w:rsidR="00D83871" w:rsidRPr="00172C2C" w:rsidRDefault="00C86F2D" w:rsidP="00D83871">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 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33" w:type="pct"/>
            <w:shd w:val="clear" w:color="auto" w:fill="auto"/>
            <w:vAlign w:val="center"/>
          </w:tcPr>
          <w:p w14:paraId="4CDADC52" w14:textId="77777777" w:rsidR="00D83871" w:rsidRPr="00023F3C" w:rsidRDefault="00D83871" w:rsidP="00D83871">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3430B23" w14:textId="77777777" w:rsidR="00D83871" w:rsidRPr="00023F3C" w:rsidRDefault="00D83871" w:rsidP="00D8387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E0EECEC" w14:textId="77777777" w:rsidR="00D83871" w:rsidRPr="00023F3C" w:rsidRDefault="00D83871" w:rsidP="00D83871">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DA3DDD8" w14:textId="77777777" w:rsidR="00D83871" w:rsidRPr="00023F3C" w:rsidRDefault="00D83871" w:rsidP="00D83871">
            <w:pPr>
              <w:spacing w:after="0" w:line="240" w:lineRule="auto"/>
              <w:jc w:val="both"/>
              <w:rPr>
                <w:rFonts w:ascii="Garamond" w:eastAsia="Times New Roman" w:hAnsi="Garamond" w:cs="Times New Roman"/>
                <w:b/>
                <w:bCs/>
                <w:color w:val="000000"/>
                <w:lang w:eastAsia="it-IT"/>
              </w:rPr>
            </w:pPr>
          </w:p>
        </w:tc>
        <w:tc>
          <w:tcPr>
            <w:tcW w:w="662" w:type="pct"/>
            <w:vAlign w:val="center"/>
          </w:tcPr>
          <w:p w14:paraId="179F3355" w14:textId="0D5C7DEB" w:rsidR="00D83871" w:rsidRPr="00023F3C" w:rsidRDefault="00D83871" w:rsidP="00D83871">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2F5496" w:themeColor="accent1" w:themeShade="BF"/>
                <w:lang w:eastAsia="it-IT"/>
              </w:rPr>
              <w:t>A partire dal 31 dicembre 2024, i</w:t>
            </w:r>
            <w:r w:rsidRPr="00501152">
              <w:rPr>
                <w:rFonts w:ascii="Garamond" w:eastAsia="Times New Roman" w:hAnsi="Garamond" w:cs="Times New Roman"/>
                <w:color w:val="2F5496" w:themeColor="accent1" w:themeShade="BF"/>
                <w:lang w:eastAsia="it-IT"/>
              </w:rPr>
              <w:t xml:space="preserve"> contratti di subappalto </w:t>
            </w:r>
            <w:r>
              <w:rPr>
                <w:rFonts w:ascii="Garamond" w:eastAsia="Times New Roman" w:hAnsi="Garamond" w:cs="Times New Roman"/>
                <w:color w:val="2F5496" w:themeColor="accent1" w:themeShade="BF"/>
                <w:lang w:eastAsia="it-IT"/>
              </w:rPr>
              <w:t xml:space="preserve">devono essere </w:t>
            </w:r>
            <w:r w:rsidRPr="00501152">
              <w:rPr>
                <w:rFonts w:ascii="Garamond" w:eastAsia="Times New Roman" w:hAnsi="Garamond" w:cs="Times New Roman"/>
                <w:color w:val="2F5496" w:themeColor="accent1" w:themeShade="BF"/>
                <w:lang w:eastAsia="it-IT"/>
              </w:rPr>
              <w:t>stipulati, in misura non inferiore al 20</w:t>
            </w:r>
            <w:r>
              <w:rPr>
                <w:rFonts w:ascii="Garamond" w:eastAsia="Times New Roman" w:hAnsi="Garamond" w:cs="Times New Roman"/>
                <w:color w:val="2F5496" w:themeColor="accent1" w:themeShade="BF"/>
                <w:lang w:eastAsia="it-IT"/>
              </w:rPr>
              <w:t>%</w:t>
            </w:r>
            <w:r w:rsidRPr="00501152">
              <w:rPr>
                <w:rFonts w:ascii="Garamond" w:eastAsia="Times New Roman" w:hAnsi="Garamond" w:cs="Times New Roman"/>
                <w:color w:val="2F5496" w:themeColor="accent1" w:themeShade="BF"/>
                <w:lang w:eastAsia="it-IT"/>
              </w:rPr>
              <w:t xml:space="preserve"> delle </w:t>
            </w:r>
            <w:r>
              <w:rPr>
                <w:rFonts w:ascii="Garamond" w:eastAsia="Times New Roman" w:hAnsi="Garamond" w:cs="Times New Roman"/>
                <w:color w:val="2F5496" w:themeColor="accent1" w:themeShade="BF"/>
                <w:lang w:eastAsia="it-IT"/>
              </w:rPr>
              <w:t>p</w:t>
            </w:r>
            <w:r w:rsidRPr="00501152">
              <w:rPr>
                <w:rFonts w:ascii="Garamond" w:eastAsia="Times New Roman" w:hAnsi="Garamond" w:cs="Times New Roman"/>
                <w:color w:val="2F5496" w:themeColor="accent1" w:themeShade="BF"/>
                <w:lang w:eastAsia="it-IT"/>
              </w:rPr>
              <w:t>restazioni</w:t>
            </w:r>
            <w:r>
              <w:rPr>
                <w:rFonts w:ascii="Garamond" w:eastAsia="Times New Roman" w:hAnsi="Garamond" w:cs="Times New Roman"/>
                <w:color w:val="2F5496" w:themeColor="accent1" w:themeShade="BF"/>
                <w:lang w:eastAsia="it-IT"/>
              </w:rPr>
              <w:t xml:space="preserve"> </w:t>
            </w:r>
            <w:r w:rsidRPr="00501152">
              <w:rPr>
                <w:rFonts w:ascii="Garamond" w:eastAsia="Times New Roman" w:hAnsi="Garamond" w:cs="Times New Roman"/>
                <w:color w:val="2F5496" w:themeColor="accent1" w:themeShade="BF"/>
                <w:lang w:eastAsia="it-IT"/>
              </w:rPr>
              <w:t>subappaltabili, con piccole e medie imprese</w:t>
            </w:r>
            <w:r>
              <w:rPr>
                <w:rFonts w:ascii="Garamond" w:eastAsia="Times New Roman" w:hAnsi="Garamond" w:cs="Times New Roman"/>
                <w:color w:val="2F5496" w:themeColor="accent1" w:themeShade="BF"/>
                <w:lang w:eastAsia="it-IT"/>
              </w:rPr>
              <w:t>. Inoltre, si impone l’inserimento delle clausole di revisione prezzi anche all’interno di tali contratti.</w:t>
            </w:r>
          </w:p>
        </w:tc>
        <w:tc>
          <w:tcPr>
            <w:tcW w:w="399" w:type="pct"/>
            <w:shd w:val="clear" w:color="auto" w:fill="auto"/>
            <w:vAlign w:val="center"/>
          </w:tcPr>
          <w:p w14:paraId="72829C94" w14:textId="17078C54" w:rsidR="00D83871" w:rsidRPr="00023F3C" w:rsidRDefault="00D83871" w:rsidP="00D83871">
            <w:pPr>
              <w:spacing w:after="0" w:line="240" w:lineRule="auto"/>
              <w:jc w:val="both"/>
              <w:rPr>
                <w:rFonts w:ascii="Garamond" w:eastAsia="Times New Roman" w:hAnsi="Garamond" w:cs="Times New Roman"/>
                <w:b/>
                <w:bCs/>
                <w:color w:val="000000"/>
                <w:lang w:eastAsia="it-IT"/>
              </w:rPr>
            </w:pPr>
          </w:p>
        </w:tc>
        <w:tc>
          <w:tcPr>
            <w:tcW w:w="1151" w:type="pct"/>
            <w:vAlign w:val="center"/>
          </w:tcPr>
          <w:p w14:paraId="17BDD64D" w14:textId="77777777" w:rsidR="00D83871" w:rsidRPr="00522B0F" w:rsidRDefault="00D83871" w:rsidP="00D8387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B42EFD" w:rsidRPr="00023F3C" w14:paraId="422B6B71" w14:textId="77777777" w:rsidTr="006A0021">
        <w:trPr>
          <w:trHeight w:val="605"/>
        </w:trPr>
        <w:tc>
          <w:tcPr>
            <w:tcW w:w="354" w:type="pct"/>
            <w:shd w:val="clear" w:color="auto" w:fill="auto"/>
            <w:vAlign w:val="center"/>
          </w:tcPr>
          <w:p w14:paraId="006443B2" w14:textId="068A8B17" w:rsidR="00B42EFD" w:rsidRDefault="00B42EFD" w:rsidP="00B42EF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01A7C">
              <w:rPr>
                <w:rFonts w:ascii="Garamond" w:eastAsia="Times New Roman" w:hAnsi="Garamond" w:cs="Times New Roman"/>
                <w:color w:val="000000"/>
                <w:lang w:eastAsia="it-IT"/>
              </w:rPr>
              <w:t>2</w:t>
            </w:r>
          </w:p>
        </w:tc>
        <w:tc>
          <w:tcPr>
            <w:tcW w:w="1371" w:type="pct"/>
            <w:shd w:val="clear" w:color="auto" w:fill="auto"/>
            <w:vAlign w:val="center"/>
          </w:tcPr>
          <w:p w14:paraId="146FCE4F" w14:textId="714BF838" w:rsidR="00B42EFD" w:rsidRPr="00172C2C" w:rsidRDefault="00B42EFD" w:rsidP="00B42EFD">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L’</w:t>
            </w:r>
            <w:r>
              <w:rPr>
                <w:rFonts w:ascii="Garamond" w:eastAsia="Times New Roman" w:hAnsi="Garamond" w:cs="Times New Roman"/>
                <w:color w:val="000000"/>
                <w:lang w:eastAsia="it-IT"/>
              </w:rPr>
              <w:t>Appaltatore</w:t>
            </w:r>
            <w:r w:rsidRPr="00172C2C">
              <w:rPr>
                <w:rFonts w:ascii="Garamond" w:eastAsia="Times New Roman" w:hAnsi="Garamond" w:cs="Times New Roman"/>
                <w:color w:val="000000"/>
                <w:lang w:eastAsia="it-IT"/>
              </w:rPr>
              <w:t xml:space="preserve"> ha consegnato gli stati d’avanzamento lavori (SAL) e la relativa documentazione probatoria? </w:t>
            </w:r>
          </w:p>
        </w:tc>
        <w:tc>
          <w:tcPr>
            <w:tcW w:w="133" w:type="pct"/>
            <w:shd w:val="clear" w:color="auto" w:fill="auto"/>
            <w:vAlign w:val="center"/>
          </w:tcPr>
          <w:p w14:paraId="204A76E1" w14:textId="77777777" w:rsidR="00B42EFD" w:rsidRPr="00023F3C" w:rsidRDefault="00B42EFD" w:rsidP="00B42EFD">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63BF68D5" w14:textId="77777777" w:rsidR="00B42EFD" w:rsidRPr="00023F3C" w:rsidRDefault="00B42EFD" w:rsidP="00B42EFD">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1259E14" w14:textId="77777777" w:rsidR="00B42EFD" w:rsidRPr="00023F3C" w:rsidRDefault="00B42EFD" w:rsidP="00B42EFD">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5B2E31EA" w14:textId="77777777" w:rsidR="00B42EFD" w:rsidRPr="00023F3C" w:rsidRDefault="00B42EFD" w:rsidP="00B42EFD">
            <w:pPr>
              <w:spacing w:after="0" w:line="240" w:lineRule="auto"/>
              <w:jc w:val="both"/>
              <w:rPr>
                <w:rFonts w:ascii="Garamond" w:eastAsia="Times New Roman" w:hAnsi="Garamond" w:cs="Times New Roman"/>
                <w:b/>
                <w:bCs/>
                <w:color w:val="000000"/>
                <w:lang w:eastAsia="it-IT"/>
              </w:rPr>
            </w:pPr>
          </w:p>
        </w:tc>
        <w:tc>
          <w:tcPr>
            <w:tcW w:w="662" w:type="pct"/>
          </w:tcPr>
          <w:p w14:paraId="1C2144C0" w14:textId="4C053B34" w:rsidR="00B42EFD" w:rsidRPr="00023F3C" w:rsidRDefault="00B42EFD" w:rsidP="00B42EFD">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163DD73F" w14:textId="25612DA8" w:rsidR="00B42EFD" w:rsidRPr="00023F3C" w:rsidRDefault="00B42EFD" w:rsidP="00B42EFD">
            <w:pPr>
              <w:spacing w:after="0" w:line="240" w:lineRule="auto"/>
              <w:jc w:val="both"/>
              <w:rPr>
                <w:rFonts w:ascii="Garamond" w:eastAsia="Times New Roman" w:hAnsi="Garamond" w:cs="Times New Roman"/>
                <w:b/>
                <w:bCs/>
                <w:color w:val="000000"/>
                <w:lang w:eastAsia="it-IT"/>
              </w:rPr>
            </w:pPr>
          </w:p>
        </w:tc>
        <w:tc>
          <w:tcPr>
            <w:tcW w:w="1151" w:type="pct"/>
            <w:vAlign w:val="center"/>
          </w:tcPr>
          <w:p w14:paraId="5D773B51" w14:textId="77777777" w:rsidR="00B42EFD" w:rsidRPr="00522B0F" w:rsidRDefault="00B42EFD" w:rsidP="00B42EFD">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B42EFD" w:rsidRPr="00023F3C" w14:paraId="3914C8A6" w14:textId="77777777" w:rsidTr="00B277D2">
        <w:trPr>
          <w:trHeight w:val="605"/>
        </w:trPr>
        <w:tc>
          <w:tcPr>
            <w:tcW w:w="354" w:type="pct"/>
            <w:shd w:val="clear" w:color="auto" w:fill="auto"/>
            <w:vAlign w:val="center"/>
          </w:tcPr>
          <w:p w14:paraId="16C59FCD" w14:textId="758C9572" w:rsidR="00B42EFD" w:rsidRDefault="00B42EFD" w:rsidP="00B42EF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01A7C">
              <w:rPr>
                <w:rFonts w:ascii="Garamond" w:eastAsia="Times New Roman" w:hAnsi="Garamond" w:cs="Times New Roman"/>
                <w:color w:val="000000"/>
                <w:lang w:eastAsia="it-IT"/>
              </w:rPr>
              <w:t>3</w:t>
            </w:r>
          </w:p>
        </w:tc>
        <w:tc>
          <w:tcPr>
            <w:tcW w:w="1371" w:type="pct"/>
            <w:shd w:val="clear" w:color="auto" w:fill="auto"/>
            <w:vAlign w:val="center"/>
          </w:tcPr>
          <w:p w14:paraId="36903578" w14:textId="7E768DD7" w:rsidR="00B42EFD" w:rsidRPr="00172C2C" w:rsidRDefault="00A97945" w:rsidP="00A97945">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r w:rsidRPr="009E1355">
              <w:rPr>
                <w:rFonts w:ascii="Garamond" w:eastAsia="Times New Roman" w:hAnsi="Garamond" w:cs="Times New Roman"/>
                <w:b/>
                <w:bCs/>
                <w:color w:val="000000"/>
                <w:lang w:eastAsia="it-IT"/>
              </w:rPr>
              <w:t xml:space="preserve"> in coerenza con le indicazioni fornite nel contratto?</w:t>
            </w:r>
          </w:p>
        </w:tc>
        <w:tc>
          <w:tcPr>
            <w:tcW w:w="133" w:type="pct"/>
            <w:shd w:val="clear" w:color="auto" w:fill="auto"/>
            <w:vAlign w:val="center"/>
          </w:tcPr>
          <w:p w14:paraId="556006B2"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FEDCD27"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0E43FFD"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F779931"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662" w:type="pct"/>
          </w:tcPr>
          <w:p w14:paraId="7915C12E" w14:textId="6DC81251"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7A3C9CD4" w14:textId="449DE98E"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1151" w:type="pct"/>
            <w:vAlign w:val="center"/>
          </w:tcPr>
          <w:p w14:paraId="02595B6B" w14:textId="77777777" w:rsidR="00B42EFD" w:rsidRPr="00522B0F" w:rsidRDefault="00B42EFD" w:rsidP="00A97945">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B42EFD" w:rsidRPr="00023F3C" w14:paraId="2C5FFF94" w14:textId="77777777" w:rsidTr="00B277D2">
        <w:trPr>
          <w:trHeight w:val="605"/>
        </w:trPr>
        <w:tc>
          <w:tcPr>
            <w:tcW w:w="354" w:type="pct"/>
            <w:shd w:val="clear" w:color="auto" w:fill="auto"/>
            <w:vAlign w:val="center"/>
          </w:tcPr>
          <w:p w14:paraId="5DC378F2" w14:textId="2A8134F1" w:rsidR="00B42EFD" w:rsidRDefault="00B42EFD" w:rsidP="00B42EF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01A7C">
              <w:rPr>
                <w:rFonts w:ascii="Garamond" w:eastAsia="Times New Roman" w:hAnsi="Garamond" w:cs="Times New Roman"/>
                <w:color w:val="000000"/>
                <w:lang w:eastAsia="it-IT"/>
              </w:rPr>
              <w:t>4</w:t>
            </w:r>
          </w:p>
        </w:tc>
        <w:tc>
          <w:tcPr>
            <w:tcW w:w="1371" w:type="pct"/>
            <w:shd w:val="clear" w:color="auto" w:fill="auto"/>
            <w:vAlign w:val="center"/>
          </w:tcPr>
          <w:p w14:paraId="2F03CDA8" w14:textId="7F07914F" w:rsidR="00B42EFD" w:rsidRDefault="00B42EFD" w:rsidP="00A97945">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D. Lgs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33" w:type="pct"/>
            <w:shd w:val="clear" w:color="auto" w:fill="auto"/>
            <w:vAlign w:val="center"/>
          </w:tcPr>
          <w:p w14:paraId="3FF57588"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6AAB188"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D69810E"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388B6F9"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662" w:type="pct"/>
          </w:tcPr>
          <w:p w14:paraId="7887D0AC"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5EE053D5" w14:textId="0874810F"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1151" w:type="pct"/>
            <w:vAlign w:val="center"/>
          </w:tcPr>
          <w:p w14:paraId="15DB6724" w14:textId="77777777" w:rsidR="00B42EFD" w:rsidRDefault="00B42EFD" w:rsidP="00A97945">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EFD0970" w14:textId="5F367BC8" w:rsidR="00B42EFD" w:rsidRPr="00522B0F" w:rsidRDefault="00B42EFD" w:rsidP="00A97945">
            <w:pPr>
              <w:spacing w:after="0" w:line="240" w:lineRule="auto"/>
              <w:jc w:val="both"/>
              <w:rPr>
                <w:rFonts w:ascii="Garamond" w:eastAsia="Times New Roman" w:hAnsi="Garamond" w:cs="Times New Roman"/>
                <w:color w:val="000000"/>
                <w:lang w:eastAsia="it-IT"/>
              </w:rPr>
            </w:pPr>
          </w:p>
        </w:tc>
      </w:tr>
      <w:tr w:rsidR="00B42EFD" w:rsidRPr="00023F3C" w14:paraId="59C64098" w14:textId="77777777" w:rsidTr="00B277D2">
        <w:trPr>
          <w:trHeight w:val="605"/>
        </w:trPr>
        <w:tc>
          <w:tcPr>
            <w:tcW w:w="354" w:type="pct"/>
            <w:shd w:val="clear" w:color="auto" w:fill="auto"/>
            <w:vAlign w:val="center"/>
          </w:tcPr>
          <w:p w14:paraId="6B7E1D3F" w14:textId="4F068144" w:rsidR="00B42EFD" w:rsidRDefault="00B42EFD" w:rsidP="00B42EF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01A7C">
              <w:rPr>
                <w:rFonts w:ascii="Garamond" w:eastAsia="Times New Roman" w:hAnsi="Garamond" w:cs="Times New Roman"/>
                <w:color w:val="000000"/>
                <w:lang w:eastAsia="it-IT"/>
              </w:rPr>
              <w:t>5</w:t>
            </w:r>
          </w:p>
        </w:tc>
        <w:tc>
          <w:tcPr>
            <w:tcW w:w="1371" w:type="pct"/>
            <w:shd w:val="clear" w:color="auto" w:fill="auto"/>
            <w:vAlign w:val="center"/>
          </w:tcPr>
          <w:p w14:paraId="6034EC4D" w14:textId="55244214" w:rsidR="00B42EFD" w:rsidRDefault="00B42EFD" w:rsidP="00A97945">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33" w:type="pct"/>
            <w:shd w:val="clear" w:color="auto" w:fill="auto"/>
            <w:vAlign w:val="center"/>
          </w:tcPr>
          <w:p w14:paraId="695A2DE5"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439FA7EC"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5EF9DAA1"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324540C9"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662" w:type="pct"/>
          </w:tcPr>
          <w:p w14:paraId="1A45D3E1"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25D320E2" w14:textId="68979541"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1151" w:type="pct"/>
            <w:vAlign w:val="center"/>
          </w:tcPr>
          <w:p w14:paraId="2FA14AFB" w14:textId="0388EBD0" w:rsidR="00B42EFD" w:rsidRPr="00522B0F" w:rsidRDefault="00B42EFD" w:rsidP="00A97945">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B42EFD" w:rsidRPr="00023F3C" w14:paraId="50417492" w14:textId="77777777" w:rsidTr="00B277D2">
        <w:trPr>
          <w:trHeight w:val="605"/>
        </w:trPr>
        <w:tc>
          <w:tcPr>
            <w:tcW w:w="354" w:type="pct"/>
            <w:shd w:val="clear" w:color="auto" w:fill="auto"/>
            <w:vAlign w:val="center"/>
          </w:tcPr>
          <w:p w14:paraId="76DDA2BC" w14:textId="79654DDC" w:rsidR="00B42EFD" w:rsidRDefault="00B42EFD" w:rsidP="00B42EFD">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01A7C">
              <w:rPr>
                <w:rFonts w:ascii="Garamond" w:eastAsia="Times New Roman" w:hAnsi="Garamond" w:cs="Times New Roman"/>
                <w:color w:val="000000"/>
                <w:lang w:eastAsia="it-IT"/>
              </w:rPr>
              <w:t>6</w:t>
            </w:r>
          </w:p>
        </w:tc>
        <w:tc>
          <w:tcPr>
            <w:tcW w:w="1371" w:type="pct"/>
            <w:shd w:val="clear" w:color="auto" w:fill="auto"/>
            <w:vAlign w:val="center"/>
          </w:tcPr>
          <w:p w14:paraId="2FB90753" w14:textId="11AB834A" w:rsidR="00B42EFD" w:rsidRDefault="00B42EFD" w:rsidP="00A97945">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Se sì, qualora la sospensione abbia superato il quarto del tempo contrattuale complessivo il responsabile del procedimento ha avvisato </w:t>
            </w:r>
            <w:r w:rsidRPr="00286AE1">
              <w:rPr>
                <w:rFonts w:ascii="Garamond" w:eastAsia="Times New Roman" w:hAnsi="Garamond" w:cs="Times New Roman"/>
                <w:color w:val="000000"/>
                <w:lang w:eastAsia="it-IT"/>
              </w:rPr>
              <w:lastRenderedPageBreak/>
              <w:t xml:space="preserve">l’Autorità competente (ANAC) ai sensi dell’art.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co</w:t>
            </w:r>
            <w:r>
              <w:rPr>
                <w:rFonts w:ascii="Garamond" w:eastAsia="Times New Roman" w:hAnsi="Garamond" w:cs="Times New Roman"/>
                <w:color w:val="000000"/>
                <w:lang w:eastAsia="it-IT"/>
              </w:rPr>
              <w:t>mma</w:t>
            </w:r>
            <w:r w:rsidRPr="00286AE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7,</w:t>
            </w:r>
            <w:r w:rsidRPr="00286AE1">
              <w:rPr>
                <w:rFonts w:ascii="Garamond" w:eastAsia="Times New Roman" w:hAnsi="Garamond" w:cs="Times New Roman"/>
                <w:color w:val="000000"/>
                <w:lang w:eastAsia="it-IT"/>
              </w:rPr>
              <w:t xml:space="preserve"> del </w:t>
            </w:r>
            <w:r w:rsidR="00421466">
              <w:rPr>
                <w:rFonts w:ascii="Garamond" w:eastAsia="Times New Roman" w:hAnsi="Garamond" w:cs="Times New Roman"/>
                <w:color w:val="000000"/>
                <w:lang w:eastAsia="it-IT"/>
              </w:rPr>
              <w:t>D</w:t>
            </w:r>
            <w:r w:rsidRPr="00286AE1">
              <w:rPr>
                <w:rFonts w:ascii="Garamond" w:eastAsia="Times New Roman" w:hAnsi="Garamond" w:cs="Times New Roman"/>
                <w:color w:val="000000"/>
                <w:lang w:eastAsia="it-IT"/>
              </w:rPr>
              <w:t>.</w:t>
            </w:r>
            <w:r w:rsidR="00421466">
              <w:rPr>
                <w:rFonts w:ascii="Garamond" w:eastAsia="Times New Roman" w:hAnsi="Garamond" w:cs="Times New Roman"/>
                <w:color w:val="000000"/>
                <w:lang w:eastAsia="it-IT"/>
              </w:rPr>
              <w:t xml:space="preserve"> L</w:t>
            </w:r>
            <w:r w:rsidRPr="00286AE1">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33" w:type="pct"/>
            <w:shd w:val="clear" w:color="auto" w:fill="auto"/>
            <w:vAlign w:val="center"/>
          </w:tcPr>
          <w:p w14:paraId="685ACCE6"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E7373E9"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E32A21D"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781FEBC"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662" w:type="pct"/>
          </w:tcPr>
          <w:p w14:paraId="42EA7A9A" w14:textId="77777777"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01166817" w14:textId="005B2015" w:rsidR="00B42EFD" w:rsidRPr="00023F3C" w:rsidRDefault="00B42EFD" w:rsidP="00A97945">
            <w:pPr>
              <w:spacing w:after="0" w:line="240" w:lineRule="auto"/>
              <w:jc w:val="both"/>
              <w:rPr>
                <w:rFonts w:ascii="Garamond" w:eastAsia="Times New Roman" w:hAnsi="Garamond" w:cs="Times New Roman"/>
                <w:b/>
                <w:bCs/>
                <w:color w:val="000000"/>
                <w:lang w:eastAsia="it-IT"/>
              </w:rPr>
            </w:pPr>
          </w:p>
        </w:tc>
        <w:tc>
          <w:tcPr>
            <w:tcW w:w="1151" w:type="pct"/>
            <w:vAlign w:val="center"/>
          </w:tcPr>
          <w:p w14:paraId="53A3DC26" w14:textId="6EBFF2F1" w:rsidR="00B42EFD" w:rsidRPr="00522B0F" w:rsidRDefault="00B42EFD" w:rsidP="00A97945">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Comunicazione ANAC</w:t>
            </w:r>
          </w:p>
        </w:tc>
      </w:tr>
      <w:tr w:rsidR="00A938E6" w:rsidRPr="00023F3C" w14:paraId="667E9060" w14:textId="77777777" w:rsidTr="00B277D2">
        <w:trPr>
          <w:trHeight w:val="605"/>
        </w:trPr>
        <w:tc>
          <w:tcPr>
            <w:tcW w:w="354" w:type="pct"/>
            <w:shd w:val="clear" w:color="auto" w:fill="auto"/>
            <w:vAlign w:val="center"/>
          </w:tcPr>
          <w:p w14:paraId="48A556E8" w14:textId="5905E0D2" w:rsidR="00A938E6" w:rsidRDefault="00A938E6" w:rsidP="00A938E6">
            <w:pPr>
              <w:spacing w:after="0" w:line="240" w:lineRule="auto"/>
              <w:jc w:val="center"/>
              <w:rPr>
                <w:rFonts w:ascii="Garamond" w:eastAsia="Times New Roman" w:hAnsi="Garamond" w:cs="Times New Roman"/>
                <w:color w:val="000000"/>
                <w:lang w:eastAsia="it-IT"/>
              </w:rPr>
            </w:pPr>
            <w:r w:rsidRPr="00045827">
              <w:rPr>
                <w:rFonts w:ascii="Garamond" w:eastAsia="Times New Roman" w:hAnsi="Garamond" w:cs="Times New Roman"/>
                <w:lang w:eastAsia="it-IT"/>
              </w:rPr>
              <w:t>2</w:t>
            </w:r>
            <w:r w:rsidR="00B01A7C">
              <w:rPr>
                <w:rFonts w:ascii="Garamond" w:eastAsia="Times New Roman" w:hAnsi="Garamond" w:cs="Times New Roman"/>
                <w:lang w:eastAsia="it-IT"/>
              </w:rPr>
              <w:t>7</w:t>
            </w:r>
          </w:p>
        </w:tc>
        <w:tc>
          <w:tcPr>
            <w:tcW w:w="1371" w:type="pct"/>
            <w:shd w:val="clear" w:color="auto" w:fill="auto"/>
            <w:vAlign w:val="center"/>
          </w:tcPr>
          <w:p w14:paraId="0A03E6D7" w14:textId="20D9B6B5" w:rsidR="00A938E6" w:rsidRDefault="00A938E6" w:rsidP="00A938E6">
            <w:pPr>
              <w:spacing w:after="0" w:line="240" w:lineRule="auto"/>
              <w:jc w:val="both"/>
              <w:rPr>
                <w:rFonts w:ascii="Garamond" w:eastAsia="Times New Roman" w:hAnsi="Garamond" w:cs="Times New Roman"/>
                <w:color w:val="000000"/>
                <w:lang w:eastAsia="it-IT"/>
              </w:rPr>
            </w:pPr>
            <w:r w:rsidRPr="00045827">
              <w:rPr>
                <w:rFonts w:ascii="Garamond" w:eastAsia="Times New Roman" w:hAnsi="Garamond" w:cs="Times New Roman"/>
                <w:lang w:eastAsia="it-IT"/>
              </w:rPr>
              <w:t>La prestazione/fornitura si è conclusa nei tempi previsti dal contratto?</w:t>
            </w:r>
          </w:p>
        </w:tc>
        <w:tc>
          <w:tcPr>
            <w:tcW w:w="133" w:type="pct"/>
            <w:shd w:val="clear" w:color="auto" w:fill="auto"/>
            <w:vAlign w:val="center"/>
          </w:tcPr>
          <w:p w14:paraId="52BB7070"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7BD56A93"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5668D34"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0A43CADA"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662" w:type="pct"/>
          </w:tcPr>
          <w:p w14:paraId="65C9C132" w14:textId="77777777" w:rsidR="00A938E6" w:rsidRPr="00432A35" w:rsidRDefault="00A938E6" w:rsidP="00A938E6">
            <w:pPr>
              <w:spacing w:after="0" w:line="240" w:lineRule="auto"/>
              <w:jc w:val="both"/>
              <w:rPr>
                <w:rFonts w:ascii="Garamond" w:eastAsia="Times New Roman" w:hAnsi="Garamond" w:cs="Times New Roman"/>
                <w:lang w:eastAsia="it-IT"/>
              </w:rPr>
            </w:pPr>
          </w:p>
        </w:tc>
        <w:tc>
          <w:tcPr>
            <w:tcW w:w="399" w:type="pct"/>
            <w:shd w:val="clear" w:color="auto" w:fill="auto"/>
            <w:vAlign w:val="center"/>
          </w:tcPr>
          <w:p w14:paraId="08057741"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1151" w:type="pct"/>
            <w:vAlign w:val="center"/>
          </w:tcPr>
          <w:p w14:paraId="54BCB528" w14:textId="5B42FCB1" w:rsidR="00A938E6" w:rsidRPr="00522B0F" w:rsidRDefault="00A938E6" w:rsidP="00A938E6">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A938E6" w:rsidRPr="00023F3C" w14:paraId="75711C83" w14:textId="77777777" w:rsidTr="00C67823">
        <w:trPr>
          <w:trHeight w:val="605"/>
        </w:trPr>
        <w:tc>
          <w:tcPr>
            <w:tcW w:w="354" w:type="pct"/>
            <w:shd w:val="clear" w:color="auto" w:fill="auto"/>
            <w:vAlign w:val="center"/>
          </w:tcPr>
          <w:p w14:paraId="456B98FC" w14:textId="69F591ED" w:rsidR="00A938E6" w:rsidRDefault="00A938E6" w:rsidP="00A938E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B01A7C">
              <w:rPr>
                <w:rFonts w:ascii="Garamond" w:eastAsia="Times New Roman" w:hAnsi="Garamond" w:cs="Times New Roman"/>
                <w:color w:val="000000"/>
                <w:lang w:eastAsia="it-IT"/>
              </w:rPr>
              <w:t>8</w:t>
            </w:r>
          </w:p>
        </w:tc>
        <w:tc>
          <w:tcPr>
            <w:tcW w:w="1371" w:type="pct"/>
            <w:shd w:val="clear" w:color="auto" w:fill="auto"/>
            <w:vAlign w:val="center"/>
          </w:tcPr>
          <w:p w14:paraId="4BD8E558" w14:textId="7396CC77" w:rsidR="00A938E6" w:rsidRDefault="00A938E6" w:rsidP="00A938E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lang w:eastAsia="it-IT"/>
              </w:rPr>
              <w:t>L’Appaltatore ha comunicato la data di ultimazione del servizio/fornitura?</w:t>
            </w:r>
          </w:p>
        </w:tc>
        <w:tc>
          <w:tcPr>
            <w:tcW w:w="133" w:type="pct"/>
            <w:shd w:val="clear" w:color="auto" w:fill="auto"/>
            <w:vAlign w:val="center"/>
          </w:tcPr>
          <w:p w14:paraId="5AE34D17"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5D114950"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B3679B8"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3E88B1E"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662" w:type="pct"/>
            <w:vAlign w:val="center"/>
          </w:tcPr>
          <w:p w14:paraId="3B2DE0BB" w14:textId="77777777" w:rsidR="00A938E6" w:rsidRPr="00432A35" w:rsidRDefault="00A938E6" w:rsidP="00A938E6">
            <w:pPr>
              <w:spacing w:after="0" w:line="240" w:lineRule="auto"/>
              <w:jc w:val="both"/>
              <w:rPr>
                <w:rFonts w:ascii="Garamond" w:eastAsia="Times New Roman" w:hAnsi="Garamond" w:cs="Times New Roman"/>
                <w:lang w:eastAsia="it-IT"/>
              </w:rPr>
            </w:pPr>
          </w:p>
        </w:tc>
        <w:tc>
          <w:tcPr>
            <w:tcW w:w="399" w:type="pct"/>
            <w:shd w:val="clear" w:color="auto" w:fill="auto"/>
            <w:vAlign w:val="center"/>
          </w:tcPr>
          <w:p w14:paraId="6A132FE3" w14:textId="77777777" w:rsidR="00A938E6" w:rsidRPr="00023F3C" w:rsidRDefault="00A938E6" w:rsidP="00A938E6">
            <w:pPr>
              <w:spacing w:after="0" w:line="240" w:lineRule="auto"/>
              <w:jc w:val="both"/>
              <w:rPr>
                <w:rFonts w:ascii="Garamond" w:eastAsia="Times New Roman" w:hAnsi="Garamond" w:cs="Times New Roman"/>
                <w:b/>
                <w:bCs/>
                <w:color w:val="000000"/>
                <w:lang w:eastAsia="it-IT"/>
              </w:rPr>
            </w:pPr>
          </w:p>
        </w:tc>
        <w:tc>
          <w:tcPr>
            <w:tcW w:w="1151" w:type="pct"/>
            <w:vAlign w:val="center"/>
          </w:tcPr>
          <w:p w14:paraId="7D20FC04" w14:textId="77777777" w:rsidR="00A938E6" w:rsidRPr="00522B0F" w:rsidRDefault="00A938E6" w:rsidP="00A938E6">
            <w:pPr>
              <w:spacing w:after="0" w:line="240" w:lineRule="auto"/>
              <w:jc w:val="both"/>
              <w:rPr>
                <w:rFonts w:ascii="Garamond" w:eastAsia="Times New Roman" w:hAnsi="Garamond" w:cs="Times New Roman"/>
                <w:color w:val="000000"/>
                <w:lang w:eastAsia="it-IT"/>
              </w:rPr>
            </w:pPr>
          </w:p>
        </w:tc>
      </w:tr>
      <w:tr w:rsidR="00DA5573" w:rsidRPr="00023F3C" w14:paraId="725A5249" w14:textId="77777777" w:rsidTr="00B277D2">
        <w:trPr>
          <w:trHeight w:val="605"/>
        </w:trPr>
        <w:tc>
          <w:tcPr>
            <w:tcW w:w="354" w:type="pct"/>
            <w:shd w:val="clear" w:color="auto" w:fill="auto"/>
            <w:vAlign w:val="center"/>
          </w:tcPr>
          <w:p w14:paraId="3CC42146" w14:textId="478679A5" w:rsidR="00DA5573" w:rsidRDefault="00B01A7C" w:rsidP="00DA557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29</w:t>
            </w:r>
          </w:p>
        </w:tc>
        <w:tc>
          <w:tcPr>
            <w:tcW w:w="1371" w:type="pct"/>
            <w:shd w:val="clear" w:color="auto" w:fill="auto"/>
            <w:vAlign w:val="center"/>
          </w:tcPr>
          <w:p w14:paraId="4B3D4A61" w14:textId="6D5A6FF8" w:rsidR="00DA5573" w:rsidRPr="00172C2C" w:rsidRDefault="00DA5573" w:rsidP="00DA5573">
            <w:pPr>
              <w:spacing w:after="0" w:line="240" w:lineRule="auto"/>
              <w:jc w:val="both"/>
              <w:rPr>
                <w:rFonts w:ascii="Garamond" w:eastAsia="Times New Roman" w:hAnsi="Garamond" w:cs="Times New Roman"/>
                <w:color w:val="000000"/>
                <w:lang w:eastAsia="it-IT"/>
              </w:rPr>
            </w:pPr>
            <w:r w:rsidRPr="00FC12B1">
              <w:rPr>
                <w:rFonts w:ascii="Garamond" w:eastAsia="Times New Roman" w:hAnsi="Garamond" w:cs="Times New Roman"/>
                <w:lang w:eastAsia="it-IT"/>
              </w:rPr>
              <w:t xml:space="preserve">È presente il certificato di verifica di conformità ai sensi dell’art. 116 del D. Lgs. 36/2023? </w:t>
            </w:r>
          </w:p>
        </w:tc>
        <w:tc>
          <w:tcPr>
            <w:tcW w:w="133" w:type="pct"/>
            <w:shd w:val="clear" w:color="auto" w:fill="auto"/>
            <w:vAlign w:val="center"/>
          </w:tcPr>
          <w:p w14:paraId="095B3DD0" w14:textId="77777777" w:rsidR="00DA5573" w:rsidRPr="00023F3C" w:rsidRDefault="00DA5573" w:rsidP="00DA5573">
            <w:pPr>
              <w:spacing w:after="0" w:line="240" w:lineRule="auto"/>
              <w:jc w:val="both"/>
              <w:rPr>
                <w:rFonts w:ascii="Garamond" w:eastAsia="Times New Roman" w:hAnsi="Garamond" w:cs="Times New Roman"/>
                <w:b/>
                <w:bCs/>
                <w:color w:val="000000"/>
                <w:lang w:eastAsia="it-IT"/>
              </w:rPr>
            </w:pPr>
          </w:p>
        </w:tc>
        <w:tc>
          <w:tcPr>
            <w:tcW w:w="177" w:type="pct"/>
            <w:shd w:val="clear" w:color="auto" w:fill="auto"/>
            <w:vAlign w:val="center"/>
          </w:tcPr>
          <w:p w14:paraId="0C5F0E7C" w14:textId="77777777" w:rsidR="00DA5573" w:rsidRPr="00023F3C" w:rsidRDefault="00DA5573" w:rsidP="00DA5573">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5BB6E2F" w14:textId="77777777" w:rsidR="00DA5573" w:rsidRPr="00023F3C" w:rsidRDefault="00DA5573" w:rsidP="00DA5573">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727ED152" w14:textId="77777777" w:rsidR="00DA5573" w:rsidRPr="00023F3C" w:rsidRDefault="00DA5573" w:rsidP="00DA5573">
            <w:pPr>
              <w:spacing w:after="0" w:line="240" w:lineRule="auto"/>
              <w:jc w:val="both"/>
              <w:rPr>
                <w:rFonts w:ascii="Garamond" w:eastAsia="Times New Roman" w:hAnsi="Garamond" w:cs="Times New Roman"/>
                <w:b/>
                <w:bCs/>
                <w:color w:val="000000"/>
                <w:lang w:eastAsia="it-IT"/>
              </w:rPr>
            </w:pPr>
          </w:p>
        </w:tc>
        <w:tc>
          <w:tcPr>
            <w:tcW w:w="662" w:type="pct"/>
          </w:tcPr>
          <w:p w14:paraId="0ABB4922" w14:textId="7FBD0770" w:rsidR="00DA5573" w:rsidRPr="00023F3C" w:rsidRDefault="00DA5573" w:rsidP="00DA5573">
            <w:pPr>
              <w:spacing w:after="0" w:line="240" w:lineRule="auto"/>
              <w:jc w:val="both"/>
              <w:rPr>
                <w:rFonts w:ascii="Garamond" w:eastAsia="Times New Roman" w:hAnsi="Garamond" w:cs="Times New Roman"/>
                <w:b/>
                <w:bCs/>
                <w:color w:val="000000"/>
                <w:lang w:eastAsia="it-IT"/>
              </w:rPr>
            </w:pPr>
          </w:p>
        </w:tc>
        <w:tc>
          <w:tcPr>
            <w:tcW w:w="399" w:type="pct"/>
            <w:shd w:val="clear" w:color="auto" w:fill="auto"/>
            <w:vAlign w:val="center"/>
          </w:tcPr>
          <w:p w14:paraId="0631253D" w14:textId="2CBDDC5B" w:rsidR="00DA5573" w:rsidRPr="00023F3C" w:rsidRDefault="00DA5573" w:rsidP="00DA5573">
            <w:pPr>
              <w:spacing w:after="0" w:line="240" w:lineRule="auto"/>
              <w:jc w:val="both"/>
              <w:rPr>
                <w:rFonts w:ascii="Garamond" w:eastAsia="Times New Roman" w:hAnsi="Garamond" w:cs="Times New Roman"/>
                <w:b/>
                <w:bCs/>
                <w:color w:val="000000"/>
                <w:lang w:eastAsia="it-IT"/>
              </w:rPr>
            </w:pPr>
          </w:p>
        </w:tc>
        <w:tc>
          <w:tcPr>
            <w:tcW w:w="1151" w:type="pct"/>
            <w:vAlign w:val="center"/>
          </w:tcPr>
          <w:p w14:paraId="6E69F7F5" w14:textId="52CB8E9C" w:rsidR="00DA5573" w:rsidRPr="00522B0F" w:rsidRDefault="00DA5573" w:rsidP="00DA5573">
            <w:pPr>
              <w:spacing w:after="0" w:line="240" w:lineRule="auto"/>
              <w:jc w:val="both"/>
              <w:rPr>
                <w:rFonts w:ascii="Garamond" w:eastAsia="Times New Roman" w:hAnsi="Garamond" w:cs="Times New Roman"/>
                <w:color w:val="000000"/>
                <w:lang w:eastAsia="it-IT"/>
              </w:rPr>
            </w:pPr>
            <w:r w:rsidRPr="00FC12B1">
              <w:rPr>
                <w:rFonts w:ascii="Garamond" w:eastAsia="Times New Roman" w:hAnsi="Garamond" w:cs="Times New Roman"/>
                <w:lang w:eastAsia="it-IT"/>
              </w:rPr>
              <w:t>• Certificato di verifica di conformità</w:t>
            </w:r>
          </w:p>
        </w:tc>
      </w:tr>
    </w:tbl>
    <w:p w14:paraId="0E13A419" w14:textId="77777777" w:rsidR="00ED65A5" w:rsidRDefault="00ED65A5" w:rsidP="00ED65A5"/>
    <w:p w14:paraId="6C963D7C" w14:textId="77777777" w:rsidR="00DA5573" w:rsidRDefault="00DA5573" w:rsidP="00ED65A5"/>
    <w:p w14:paraId="1DD59381" w14:textId="77777777" w:rsidR="00DA5573" w:rsidRDefault="00DA5573" w:rsidP="00ED65A5"/>
    <w:p w14:paraId="7E01AFD3" w14:textId="77777777" w:rsidR="00DA5573" w:rsidRDefault="00DA5573" w:rsidP="00ED65A5"/>
    <w:p w14:paraId="228B0403" w14:textId="77777777" w:rsidR="00ED65A5" w:rsidRDefault="00ED65A5"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177AE1">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TableGrid"/>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177AE1">
        <w:trPr>
          <w:trHeight w:val="558"/>
        </w:trPr>
        <w:tc>
          <w:tcPr>
            <w:tcW w:w="3539" w:type="dxa"/>
            <w:shd w:val="clear" w:color="auto" w:fill="B8CCE4"/>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lastRenderedPageBreak/>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177AE1">
        <w:trPr>
          <w:trHeight w:val="549"/>
        </w:trPr>
        <w:tc>
          <w:tcPr>
            <w:tcW w:w="3539" w:type="dxa"/>
            <w:shd w:val="clear" w:color="auto" w:fill="B8CCE4"/>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177AE1">
        <w:trPr>
          <w:trHeight w:val="560"/>
        </w:trPr>
        <w:tc>
          <w:tcPr>
            <w:tcW w:w="3539" w:type="dxa"/>
            <w:shd w:val="clear" w:color="auto" w:fill="B8CCE4"/>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177AE1">
        <w:trPr>
          <w:trHeight w:val="568"/>
        </w:trPr>
        <w:tc>
          <w:tcPr>
            <w:tcW w:w="3539" w:type="dxa"/>
            <w:shd w:val="clear" w:color="auto" w:fill="B8CCE4"/>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177AE1">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177AE1">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177AE1">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lastRenderedPageBreak/>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043F3E">
      <w:headerReference w:type="default" r:id="rId9"/>
      <w:footerReference w:type="default" r:id="rId10"/>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D40A6" w14:textId="77777777" w:rsidR="009C56C8" w:rsidRDefault="009C56C8" w:rsidP="00ED65A5">
      <w:pPr>
        <w:spacing w:after="0" w:line="240" w:lineRule="auto"/>
      </w:pPr>
      <w:r>
        <w:separator/>
      </w:r>
    </w:p>
  </w:endnote>
  <w:endnote w:type="continuationSeparator" w:id="0">
    <w:p w14:paraId="3B6E3341" w14:textId="77777777" w:rsidR="009C56C8" w:rsidRDefault="009C56C8" w:rsidP="00ED65A5">
      <w:pPr>
        <w:spacing w:after="0" w:line="240" w:lineRule="auto"/>
      </w:pPr>
      <w:r>
        <w:continuationSeparator/>
      </w:r>
    </w:p>
  </w:endnote>
  <w:endnote w:type="continuationNotice" w:id="1">
    <w:p w14:paraId="5B9CFFD5" w14:textId="77777777" w:rsidR="009C56C8" w:rsidRDefault="009C56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CF247E" w:rsidRPr="00B50AD7" w:rsidRDefault="00EB2D5F">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CF247E" w:rsidRDefault="00CF2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B852D" w14:textId="77777777" w:rsidR="009C56C8" w:rsidRDefault="009C56C8" w:rsidP="00ED65A5">
      <w:pPr>
        <w:spacing w:after="0" w:line="240" w:lineRule="auto"/>
      </w:pPr>
      <w:r>
        <w:separator/>
      </w:r>
    </w:p>
  </w:footnote>
  <w:footnote w:type="continuationSeparator" w:id="0">
    <w:p w14:paraId="465AB046" w14:textId="77777777" w:rsidR="009C56C8" w:rsidRDefault="009C56C8" w:rsidP="00ED65A5">
      <w:pPr>
        <w:spacing w:after="0" w:line="240" w:lineRule="auto"/>
      </w:pPr>
      <w:r>
        <w:continuationSeparator/>
      </w:r>
    </w:p>
  </w:footnote>
  <w:footnote w:type="continuationNotice" w:id="1">
    <w:p w14:paraId="6A387864" w14:textId="77777777" w:rsidR="009C56C8" w:rsidRDefault="009C56C8">
      <w:pPr>
        <w:spacing w:after="0" w:line="240" w:lineRule="auto"/>
      </w:pPr>
    </w:p>
  </w:footnote>
  <w:footnote w:id="2">
    <w:p w14:paraId="77405E81" w14:textId="77777777" w:rsidR="00E57513" w:rsidRDefault="00E57513" w:rsidP="00ED65A5">
      <w:pPr>
        <w:pStyle w:val="FootnoteText"/>
      </w:pPr>
      <w:r>
        <w:rPr>
          <w:rStyle w:val="FootnoteReference"/>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8FF78" w14:textId="18BE336C" w:rsidR="0093431D" w:rsidRPr="0093431D" w:rsidRDefault="0093431D" w:rsidP="0093431D">
    <w:pPr>
      <w:spacing w:after="0" w:line="240" w:lineRule="auto"/>
      <w:rPr>
        <w:rFonts w:ascii="Times New Roman" w:eastAsia="Times New Roman" w:hAnsi="Times New Roman" w:cs="Times New Roman"/>
        <w:sz w:val="24"/>
        <w:szCs w:val="24"/>
        <w:lang w:eastAsia="it-IT"/>
      </w:rPr>
    </w:pPr>
    <w:r w:rsidRPr="0093431D">
      <w:rPr>
        <w:rFonts w:ascii="Times New Roman" w:eastAsia="Times New Roman" w:hAnsi="Times New Roman" w:cs="Times New Roman"/>
        <w:noProof/>
        <w:sz w:val="24"/>
        <w:szCs w:val="24"/>
        <w:lang w:eastAsia="it-IT"/>
      </w:rPr>
      <w:drawing>
        <wp:inline distT="0" distB="0" distL="0" distR="0" wp14:anchorId="1EF4C3D2" wp14:editId="289C8C46">
          <wp:extent cx="6120130" cy="598805"/>
          <wp:effectExtent l="0" t="0" r="0" b="0"/>
          <wp:docPr id="13183358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805"/>
                  </a:xfrm>
                  <a:prstGeom prst="rect">
                    <a:avLst/>
                  </a:prstGeom>
                  <a:noFill/>
                  <a:ln>
                    <a:noFill/>
                  </a:ln>
                </pic:spPr>
              </pic:pic>
            </a:graphicData>
          </a:graphic>
        </wp:inline>
      </w:drawing>
    </w:r>
  </w:p>
  <w:p w14:paraId="61A204FE" w14:textId="529DA0E9" w:rsidR="00ED65A5" w:rsidRDefault="00ED65A5" w:rsidP="004B01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E2DE5" w14:textId="12EFA36A" w:rsidR="0093431D" w:rsidRPr="0093431D" w:rsidRDefault="0093431D" w:rsidP="0093431D">
    <w:pPr>
      <w:spacing w:after="0" w:line="240" w:lineRule="auto"/>
      <w:jc w:val="center"/>
      <w:rPr>
        <w:rFonts w:ascii="Times New Roman" w:eastAsia="Times New Roman" w:hAnsi="Times New Roman" w:cs="Times New Roman"/>
        <w:sz w:val="24"/>
        <w:szCs w:val="24"/>
        <w:lang w:eastAsia="it-IT"/>
      </w:rPr>
    </w:pPr>
    <w:r w:rsidRPr="0093431D">
      <w:rPr>
        <w:rFonts w:ascii="Times New Roman" w:eastAsia="Times New Roman" w:hAnsi="Times New Roman" w:cs="Times New Roman"/>
        <w:noProof/>
        <w:sz w:val="24"/>
        <w:szCs w:val="24"/>
        <w:lang w:eastAsia="it-IT"/>
      </w:rPr>
      <w:drawing>
        <wp:inline distT="0" distB="0" distL="0" distR="0" wp14:anchorId="6029A650" wp14:editId="35E7A69D">
          <wp:extent cx="6165850" cy="603250"/>
          <wp:effectExtent l="0" t="0" r="0" b="6350"/>
          <wp:docPr id="161806510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5850" cy="603250"/>
                  </a:xfrm>
                  <a:prstGeom prst="rect">
                    <a:avLst/>
                  </a:prstGeom>
                  <a:noFill/>
                  <a:ln>
                    <a:noFill/>
                  </a:ln>
                </pic:spPr>
              </pic:pic>
            </a:graphicData>
          </a:graphic>
        </wp:inline>
      </w:drawing>
    </w:r>
  </w:p>
  <w:p w14:paraId="70500AC5" w14:textId="047DC5B1" w:rsidR="00CF247E" w:rsidRDefault="00CF247E" w:rsidP="0093431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A4490"/>
    <w:multiLevelType w:val="hybridMultilevel"/>
    <w:tmpl w:val="825C72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5453B9"/>
    <w:multiLevelType w:val="hybridMultilevel"/>
    <w:tmpl w:val="61F0C1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782C2E"/>
    <w:multiLevelType w:val="hybridMultilevel"/>
    <w:tmpl w:val="49FEE710"/>
    <w:lvl w:ilvl="0" w:tplc="0410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277D9C"/>
    <w:multiLevelType w:val="hybridMultilevel"/>
    <w:tmpl w:val="24287D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E81F14"/>
    <w:multiLevelType w:val="hybridMultilevel"/>
    <w:tmpl w:val="D24890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5414D2"/>
    <w:multiLevelType w:val="hybridMultilevel"/>
    <w:tmpl w:val="B9CC62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13423E"/>
    <w:multiLevelType w:val="hybridMultilevel"/>
    <w:tmpl w:val="DF10E3F6"/>
    <w:lvl w:ilvl="0" w:tplc="7F5A2A08">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59527C"/>
    <w:multiLevelType w:val="hybridMultilevel"/>
    <w:tmpl w:val="604A50CA"/>
    <w:lvl w:ilvl="0" w:tplc="87F89CCA">
      <w:start w:val="1"/>
      <w:numFmt w:val="lowerLetter"/>
      <w:lvlText w:val="%1)"/>
      <w:lvlJc w:val="left"/>
      <w:pPr>
        <w:ind w:left="1128" w:hanging="76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7973245"/>
    <w:multiLevelType w:val="hybridMultilevel"/>
    <w:tmpl w:val="30605CD0"/>
    <w:lvl w:ilvl="0" w:tplc="7F5A2A08">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B5D75BF"/>
    <w:multiLevelType w:val="hybridMultilevel"/>
    <w:tmpl w:val="CA0CDD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3B5D69"/>
    <w:multiLevelType w:val="hybridMultilevel"/>
    <w:tmpl w:val="8104E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753520E"/>
    <w:multiLevelType w:val="hybridMultilevel"/>
    <w:tmpl w:val="658059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0D2213D"/>
    <w:multiLevelType w:val="hybridMultilevel"/>
    <w:tmpl w:val="2D78DF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6"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C4D26A9"/>
    <w:multiLevelType w:val="hybridMultilevel"/>
    <w:tmpl w:val="D9289036"/>
    <w:lvl w:ilvl="0" w:tplc="05001A64">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F70789D"/>
    <w:multiLevelType w:val="hybridMultilevel"/>
    <w:tmpl w:val="04045B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AEA377C"/>
    <w:multiLevelType w:val="hybridMultilevel"/>
    <w:tmpl w:val="DA4E816A"/>
    <w:lvl w:ilvl="0" w:tplc="5B820336">
      <w:start w:val="1"/>
      <w:numFmt w:val="bullet"/>
      <w:lvlText w:val="-"/>
      <w:lvlJc w:val="left"/>
      <w:pPr>
        <w:ind w:left="720" w:hanging="360"/>
      </w:pPr>
      <w:rPr>
        <w:rFonts w:ascii="Garamond" w:eastAsia="Times New Roman" w:hAnsi="Garamond"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BC7479F"/>
    <w:multiLevelType w:val="hybridMultilevel"/>
    <w:tmpl w:val="214E1C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F311A1"/>
    <w:multiLevelType w:val="hybridMultilevel"/>
    <w:tmpl w:val="831EBD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00760425">
    <w:abstractNumId w:val="10"/>
  </w:num>
  <w:num w:numId="2" w16cid:durableId="314575601">
    <w:abstractNumId w:val="9"/>
  </w:num>
  <w:num w:numId="3" w16cid:durableId="852839754">
    <w:abstractNumId w:val="13"/>
  </w:num>
  <w:num w:numId="4" w16cid:durableId="141703090">
    <w:abstractNumId w:val="28"/>
  </w:num>
  <w:num w:numId="5" w16cid:durableId="1174808138">
    <w:abstractNumId w:val="16"/>
  </w:num>
  <w:num w:numId="6" w16cid:durableId="1304651412">
    <w:abstractNumId w:val="27"/>
  </w:num>
  <w:num w:numId="7" w16cid:durableId="356320536">
    <w:abstractNumId w:val="1"/>
  </w:num>
  <w:num w:numId="8" w16cid:durableId="1771732057">
    <w:abstractNumId w:val="6"/>
  </w:num>
  <w:num w:numId="9" w16cid:durableId="645858622">
    <w:abstractNumId w:val="12"/>
  </w:num>
  <w:num w:numId="10" w16cid:durableId="2136826252">
    <w:abstractNumId w:val="18"/>
  </w:num>
  <w:num w:numId="11" w16cid:durableId="1981222981">
    <w:abstractNumId w:val="21"/>
  </w:num>
  <w:num w:numId="12" w16cid:durableId="418256575">
    <w:abstractNumId w:val="26"/>
  </w:num>
  <w:num w:numId="13" w16cid:durableId="1634411275">
    <w:abstractNumId w:val="11"/>
  </w:num>
  <w:num w:numId="14" w16cid:durableId="64959200">
    <w:abstractNumId w:val="2"/>
  </w:num>
  <w:num w:numId="15" w16cid:durableId="2030179525">
    <w:abstractNumId w:val="31"/>
  </w:num>
  <w:num w:numId="16" w16cid:durableId="921334668">
    <w:abstractNumId w:val="34"/>
  </w:num>
  <w:num w:numId="17" w16cid:durableId="1189293836">
    <w:abstractNumId w:val="32"/>
  </w:num>
  <w:num w:numId="18" w16cid:durableId="646016543">
    <w:abstractNumId w:val="3"/>
  </w:num>
  <w:num w:numId="19" w16cid:durableId="741023269">
    <w:abstractNumId w:val="24"/>
  </w:num>
  <w:num w:numId="20" w16cid:durableId="67582915">
    <w:abstractNumId w:val="22"/>
  </w:num>
  <w:num w:numId="21" w16cid:durableId="1812013719">
    <w:abstractNumId w:val="0"/>
  </w:num>
  <w:num w:numId="22" w16cid:durableId="981542799">
    <w:abstractNumId w:val="20"/>
  </w:num>
  <w:num w:numId="23" w16cid:durableId="314534105">
    <w:abstractNumId w:val="5"/>
  </w:num>
  <w:num w:numId="24" w16cid:durableId="1935357334">
    <w:abstractNumId w:val="33"/>
  </w:num>
  <w:num w:numId="25" w16cid:durableId="1573811713">
    <w:abstractNumId w:val="35"/>
  </w:num>
  <w:num w:numId="26" w16cid:durableId="1865632965">
    <w:abstractNumId w:val="29"/>
  </w:num>
  <w:num w:numId="27" w16cid:durableId="239566077">
    <w:abstractNumId w:val="23"/>
  </w:num>
  <w:num w:numId="28" w16cid:durableId="1481456899">
    <w:abstractNumId w:val="15"/>
  </w:num>
  <w:num w:numId="29" w16cid:durableId="1334912199">
    <w:abstractNumId w:val="8"/>
  </w:num>
  <w:num w:numId="30" w16cid:durableId="646126000">
    <w:abstractNumId w:val="7"/>
  </w:num>
  <w:num w:numId="31" w16cid:durableId="1631665489">
    <w:abstractNumId w:val="19"/>
  </w:num>
  <w:num w:numId="32" w16cid:durableId="854733703">
    <w:abstractNumId w:val="30"/>
  </w:num>
  <w:num w:numId="33" w16cid:durableId="635066101">
    <w:abstractNumId w:val="17"/>
  </w:num>
  <w:num w:numId="34" w16cid:durableId="505755912">
    <w:abstractNumId w:val="4"/>
  </w:num>
  <w:num w:numId="35" w16cid:durableId="2116319641">
    <w:abstractNumId w:val="14"/>
  </w:num>
  <w:num w:numId="36" w16cid:durableId="14475834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107A9"/>
    <w:rsid w:val="00011C1F"/>
    <w:rsid w:val="00022E0B"/>
    <w:rsid w:val="00027A10"/>
    <w:rsid w:val="00031F31"/>
    <w:rsid w:val="00034D63"/>
    <w:rsid w:val="00034F84"/>
    <w:rsid w:val="00037DDF"/>
    <w:rsid w:val="000548AF"/>
    <w:rsid w:val="00062ED6"/>
    <w:rsid w:val="0006695A"/>
    <w:rsid w:val="00067C36"/>
    <w:rsid w:val="00082E78"/>
    <w:rsid w:val="00083C45"/>
    <w:rsid w:val="0008405A"/>
    <w:rsid w:val="00093FD0"/>
    <w:rsid w:val="00094B2D"/>
    <w:rsid w:val="000B5562"/>
    <w:rsid w:val="000C0811"/>
    <w:rsid w:val="000C53D7"/>
    <w:rsid w:val="000E0CAA"/>
    <w:rsid w:val="000E6501"/>
    <w:rsid w:val="001008A7"/>
    <w:rsid w:val="00101064"/>
    <w:rsid w:val="001040E4"/>
    <w:rsid w:val="0010665F"/>
    <w:rsid w:val="00107D41"/>
    <w:rsid w:val="0011065C"/>
    <w:rsid w:val="001145F3"/>
    <w:rsid w:val="00115263"/>
    <w:rsid w:val="0011681C"/>
    <w:rsid w:val="00124D53"/>
    <w:rsid w:val="00140854"/>
    <w:rsid w:val="00155A71"/>
    <w:rsid w:val="00157068"/>
    <w:rsid w:val="001652EA"/>
    <w:rsid w:val="00166EA4"/>
    <w:rsid w:val="00173C85"/>
    <w:rsid w:val="0017400F"/>
    <w:rsid w:val="00174F93"/>
    <w:rsid w:val="00177347"/>
    <w:rsid w:val="0017761D"/>
    <w:rsid w:val="00183F74"/>
    <w:rsid w:val="001926AB"/>
    <w:rsid w:val="001974BB"/>
    <w:rsid w:val="001A6943"/>
    <w:rsid w:val="001B06C8"/>
    <w:rsid w:val="001B3B90"/>
    <w:rsid w:val="001B4D8C"/>
    <w:rsid w:val="001D1B5F"/>
    <w:rsid w:val="001D599E"/>
    <w:rsid w:val="001D786D"/>
    <w:rsid w:val="001E1AFB"/>
    <w:rsid w:val="001F00A7"/>
    <w:rsid w:val="001F7208"/>
    <w:rsid w:val="001F7B7F"/>
    <w:rsid w:val="00211066"/>
    <w:rsid w:val="00214860"/>
    <w:rsid w:val="002247E9"/>
    <w:rsid w:val="00227970"/>
    <w:rsid w:val="00231DED"/>
    <w:rsid w:val="002420BF"/>
    <w:rsid w:val="00250E25"/>
    <w:rsid w:val="00252136"/>
    <w:rsid w:val="00257F14"/>
    <w:rsid w:val="0026301B"/>
    <w:rsid w:val="002654BF"/>
    <w:rsid w:val="00267562"/>
    <w:rsid w:val="00270C96"/>
    <w:rsid w:val="002839B7"/>
    <w:rsid w:val="002841C3"/>
    <w:rsid w:val="00284ED1"/>
    <w:rsid w:val="00285A51"/>
    <w:rsid w:val="00291B4E"/>
    <w:rsid w:val="0029488B"/>
    <w:rsid w:val="00295EF7"/>
    <w:rsid w:val="002B65CE"/>
    <w:rsid w:val="002B6DBC"/>
    <w:rsid w:val="002B7AD5"/>
    <w:rsid w:val="002C0892"/>
    <w:rsid w:val="002C5057"/>
    <w:rsid w:val="002C7563"/>
    <w:rsid w:val="002D391F"/>
    <w:rsid w:val="002D712A"/>
    <w:rsid w:val="002E7F6A"/>
    <w:rsid w:val="002F30B1"/>
    <w:rsid w:val="002F7D19"/>
    <w:rsid w:val="00300AD4"/>
    <w:rsid w:val="003206B3"/>
    <w:rsid w:val="00332905"/>
    <w:rsid w:val="00340718"/>
    <w:rsid w:val="00341837"/>
    <w:rsid w:val="00370B33"/>
    <w:rsid w:val="0037185A"/>
    <w:rsid w:val="00373264"/>
    <w:rsid w:val="00377537"/>
    <w:rsid w:val="003810BE"/>
    <w:rsid w:val="003831D4"/>
    <w:rsid w:val="00384A68"/>
    <w:rsid w:val="00384F2C"/>
    <w:rsid w:val="00386D25"/>
    <w:rsid w:val="003914A6"/>
    <w:rsid w:val="0039154C"/>
    <w:rsid w:val="00393C6B"/>
    <w:rsid w:val="003A472D"/>
    <w:rsid w:val="003A47FD"/>
    <w:rsid w:val="003B3B86"/>
    <w:rsid w:val="003B3CA7"/>
    <w:rsid w:val="003B71DA"/>
    <w:rsid w:val="003D1A24"/>
    <w:rsid w:val="003E4E39"/>
    <w:rsid w:val="003F5A2B"/>
    <w:rsid w:val="004037A1"/>
    <w:rsid w:val="004107E6"/>
    <w:rsid w:val="004119CD"/>
    <w:rsid w:val="004144C1"/>
    <w:rsid w:val="00416602"/>
    <w:rsid w:val="00421466"/>
    <w:rsid w:val="00422365"/>
    <w:rsid w:val="00437A27"/>
    <w:rsid w:val="0044027F"/>
    <w:rsid w:val="00446E91"/>
    <w:rsid w:val="00455B1B"/>
    <w:rsid w:val="00472BBB"/>
    <w:rsid w:val="004827B4"/>
    <w:rsid w:val="00483606"/>
    <w:rsid w:val="004860C3"/>
    <w:rsid w:val="004A0A1C"/>
    <w:rsid w:val="004B0158"/>
    <w:rsid w:val="004B01BB"/>
    <w:rsid w:val="004C00CE"/>
    <w:rsid w:val="004D55F9"/>
    <w:rsid w:val="004E3A1A"/>
    <w:rsid w:val="004F179E"/>
    <w:rsid w:val="004F67B9"/>
    <w:rsid w:val="00500C96"/>
    <w:rsid w:val="0050320A"/>
    <w:rsid w:val="00516787"/>
    <w:rsid w:val="00521E96"/>
    <w:rsid w:val="00524BB7"/>
    <w:rsid w:val="005264DD"/>
    <w:rsid w:val="00526EFC"/>
    <w:rsid w:val="0054305B"/>
    <w:rsid w:val="00550184"/>
    <w:rsid w:val="00557E6F"/>
    <w:rsid w:val="00567818"/>
    <w:rsid w:val="005934B6"/>
    <w:rsid w:val="005A26A8"/>
    <w:rsid w:val="005A4388"/>
    <w:rsid w:val="005A5577"/>
    <w:rsid w:val="005B3296"/>
    <w:rsid w:val="005B467E"/>
    <w:rsid w:val="005D422F"/>
    <w:rsid w:val="005D5A64"/>
    <w:rsid w:val="005F19AB"/>
    <w:rsid w:val="005F32E1"/>
    <w:rsid w:val="005F6D36"/>
    <w:rsid w:val="00613706"/>
    <w:rsid w:val="00614C21"/>
    <w:rsid w:val="00621BCE"/>
    <w:rsid w:val="006252D2"/>
    <w:rsid w:val="00640931"/>
    <w:rsid w:val="00651753"/>
    <w:rsid w:val="00670329"/>
    <w:rsid w:val="00675914"/>
    <w:rsid w:val="00681143"/>
    <w:rsid w:val="0068370C"/>
    <w:rsid w:val="006851EA"/>
    <w:rsid w:val="00693EC4"/>
    <w:rsid w:val="006B445F"/>
    <w:rsid w:val="006B583E"/>
    <w:rsid w:val="006D1735"/>
    <w:rsid w:val="006D6693"/>
    <w:rsid w:val="006F17CB"/>
    <w:rsid w:val="007000AE"/>
    <w:rsid w:val="007024DD"/>
    <w:rsid w:val="00710A05"/>
    <w:rsid w:val="0072296D"/>
    <w:rsid w:val="00727A3A"/>
    <w:rsid w:val="00730284"/>
    <w:rsid w:val="00750C32"/>
    <w:rsid w:val="00751C99"/>
    <w:rsid w:val="0075525B"/>
    <w:rsid w:val="007633E4"/>
    <w:rsid w:val="0077606B"/>
    <w:rsid w:val="00780365"/>
    <w:rsid w:val="007849D9"/>
    <w:rsid w:val="00786FD7"/>
    <w:rsid w:val="007938CE"/>
    <w:rsid w:val="007B663B"/>
    <w:rsid w:val="007C1AAC"/>
    <w:rsid w:val="007C3ECD"/>
    <w:rsid w:val="007C48D2"/>
    <w:rsid w:val="007C6B4C"/>
    <w:rsid w:val="007D41D0"/>
    <w:rsid w:val="007D5454"/>
    <w:rsid w:val="007F49F3"/>
    <w:rsid w:val="007F522B"/>
    <w:rsid w:val="007F5608"/>
    <w:rsid w:val="007F75BA"/>
    <w:rsid w:val="0080563B"/>
    <w:rsid w:val="00807D97"/>
    <w:rsid w:val="00811B16"/>
    <w:rsid w:val="008124EB"/>
    <w:rsid w:val="00820D16"/>
    <w:rsid w:val="00821218"/>
    <w:rsid w:val="008268C8"/>
    <w:rsid w:val="00831EE1"/>
    <w:rsid w:val="00835808"/>
    <w:rsid w:val="00837122"/>
    <w:rsid w:val="00844CD6"/>
    <w:rsid w:val="00844DAB"/>
    <w:rsid w:val="00851A91"/>
    <w:rsid w:val="00857621"/>
    <w:rsid w:val="00860325"/>
    <w:rsid w:val="00862ECD"/>
    <w:rsid w:val="008666FA"/>
    <w:rsid w:val="00870E35"/>
    <w:rsid w:val="00885C2A"/>
    <w:rsid w:val="00886F77"/>
    <w:rsid w:val="008A229C"/>
    <w:rsid w:val="008B09A5"/>
    <w:rsid w:val="008B1574"/>
    <w:rsid w:val="008B4911"/>
    <w:rsid w:val="008B6D99"/>
    <w:rsid w:val="008B7FC6"/>
    <w:rsid w:val="008C1DE0"/>
    <w:rsid w:val="008C515E"/>
    <w:rsid w:val="008D100A"/>
    <w:rsid w:val="008E43A9"/>
    <w:rsid w:val="008F4E7F"/>
    <w:rsid w:val="008F73B1"/>
    <w:rsid w:val="00902BD6"/>
    <w:rsid w:val="00912BB5"/>
    <w:rsid w:val="00914259"/>
    <w:rsid w:val="00914D81"/>
    <w:rsid w:val="00920AEC"/>
    <w:rsid w:val="00926849"/>
    <w:rsid w:val="0093246F"/>
    <w:rsid w:val="0093431D"/>
    <w:rsid w:val="009362C1"/>
    <w:rsid w:val="0093658E"/>
    <w:rsid w:val="009365C6"/>
    <w:rsid w:val="00955DC5"/>
    <w:rsid w:val="00961C6A"/>
    <w:rsid w:val="009627A8"/>
    <w:rsid w:val="0096671F"/>
    <w:rsid w:val="00970016"/>
    <w:rsid w:val="009741E4"/>
    <w:rsid w:val="00975385"/>
    <w:rsid w:val="00980202"/>
    <w:rsid w:val="00980866"/>
    <w:rsid w:val="0099315D"/>
    <w:rsid w:val="0099346B"/>
    <w:rsid w:val="009A0B14"/>
    <w:rsid w:val="009A3624"/>
    <w:rsid w:val="009B25E5"/>
    <w:rsid w:val="009B3DB9"/>
    <w:rsid w:val="009C0162"/>
    <w:rsid w:val="009C102D"/>
    <w:rsid w:val="009C38EA"/>
    <w:rsid w:val="009C4536"/>
    <w:rsid w:val="009C5695"/>
    <w:rsid w:val="009C56C8"/>
    <w:rsid w:val="009E7556"/>
    <w:rsid w:val="009F2687"/>
    <w:rsid w:val="00A03BE9"/>
    <w:rsid w:val="00A1052A"/>
    <w:rsid w:val="00A12420"/>
    <w:rsid w:val="00A15287"/>
    <w:rsid w:val="00A23B13"/>
    <w:rsid w:val="00A2477D"/>
    <w:rsid w:val="00A43135"/>
    <w:rsid w:val="00A45371"/>
    <w:rsid w:val="00A660A6"/>
    <w:rsid w:val="00A82907"/>
    <w:rsid w:val="00A853E7"/>
    <w:rsid w:val="00A938E6"/>
    <w:rsid w:val="00A949C8"/>
    <w:rsid w:val="00A97945"/>
    <w:rsid w:val="00AB51E7"/>
    <w:rsid w:val="00AC06AE"/>
    <w:rsid w:val="00AD0C2D"/>
    <w:rsid w:val="00AE1D72"/>
    <w:rsid w:val="00AF06CA"/>
    <w:rsid w:val="00AF3CF1"/>
    <w:rsid w:val="00B01A7C"/>
    <w:rsid w:val="00B01DA1"/>
    <w:rsid w:val="00B1010E"/>
    <w:rsid w:val="00B13066"/>
    <w:rsid w:val="00B15A0E"/>
    <w:rsid w:val="00B277D2"/>
    <w:rsid w:val="00B300E4"/>
    <w:rsid w:val="00B42EFD"/>
    <w:rsid w:val="00B433FC"/>
    <w:rsid w:val="00B438CE"/>
    <w:rsid w:val="00B44D86"/>
    <w:rsid w:val="00B543EF"/>
    <w:rsid w:val="00B61B7C"/>
    <w:rsid w:val="00B632D0"/>
    <w:rsid w:val="00B75A51"/>
    <w:rsid w:val="00B77F22"/>
    <w:rsid w:val="00B84D2B"/>
    <w:rsid w:val="00B924CF"/>
    <w:rsid w:val="00B93AB6"/>
    <w:rsid w:val="00BA5F2F"/>
    <w:rsid w:val="00BB1BAB"/>
    <w:rsid w:val="00BD5F3A"/>
    <w:rsid w:val="00BE0627"/>
    <w:rsid w:val="00BE6148"/>
    <w:rsid w:val="00BF651A"/>
    <w:rsid w:val="00C03390"/>
    <w:rsid w:val="00C1157E"/>
    <w:rsid w:val="00C14D3E"/>
    <w:rsid w:val="00C17E06"/>
    <w:rsid w:val="00C26701"/>
    <w:rsid w:val="00C309B4"/>
    <w:rsid w:val="00C436F4"/>
    <w:rsid w:val="00C47616"/>
    <w:rsid w:val="00C519E9"/>
    <w:rsid w:val="00C67AD0"/>
    <w:rsid w:val="00C72FCB"/>
    <w:rsid w:val="00C76144"/>
    <w:rsid w:val="00C86F2D"/>
    <w:rsid w:val="00C87263"/>
    <w:rsid w:val="00CA068F"/>
    <w:rsid w:val="00CA4FA7"/>
    <w:rsid w:val="00CB49B6"/>
    <w:rsid w:val="00CC2EC8"/>
    <w:rsid w:val="00CE504F"/>
    <w:rsid w:val="00CE7329"/>
    <w:rsid w:val="00CF247E"/>
    <w:rsid w:val="00CF500F"/>
    <w:rsid w:val="00D0707B"/>
    <w:rsid w:val="00D14EAF"/>
    <w:rsid w:val="00D179C5"/>
    <w:rsid w:val="00D3206E"/>
    <w:rsid w:val="00D33FA5"/>
    <w:rsid w:val="00D4233C"/>
    <w:rsid w:val="00D51ED4"/>
    <w:rsid w:val="00D54E06"/>
    <w:rsid w:val="00D74EA9"/>
    <w:rsid w:val="00D83871"/>
    <w:rsid w:val="00D96277"/>
    <w:rsid w:val="00DA29E4"/>
    <w:rsid w:val="00DA3B31"/>
    <w:rsid w:val="00DA5573"/>
    <w:rsid w:val="00DA6277"/>
    <w:rsid w:val="00DB1D4F"/>
    <w:rsid w:val="00DB7B09"/>
    <w:rsid w:val="00DC7076"/>
    <w:rsid w:val="00DD3836"/>
    <w:rsid w:val="00DD4D66"/>
    <w:rsid w:val="00DE4385"/>
    <w:rsid w:val="00DF0D49"/>
    <w:rsid w:val="00DF11C3"/>
    <w:rsid w:val="00DF5DF1"/>
    <w:rsid w:val="00E06843"/>
    <w:rsid w:val="00E16BD2"/>
    <w:rsid w:val="00E21543"/>
    <w:rsid w:val="00E22079"/>
    <w:rsid w:val="00E22874"/>
    <w:rsid w:val="00E24A51"/>
    <w:rsid w:val="00E30648"/>
    <w:rsid w:val="00E31146"/>
    <w:rsid w:val="00E34627"/>
    <w:rsid w:val="00E3522C"/>
    <w:rsid w:val="00E401E8"/>
    <w:rsid w:val="00E45DB0"/>
    <w:rsid w:val="00E47F7E"/>
    <w:rsid w:val="00E54255"/>
    <w:rsid w:val="00E5495D"/>
    <w:rsid w:val="00E57513"/>
    <w:rsid w:val="00E634A1"/>
    <w:rsid w:val="00E67DD2"/>
    <w:rsid w:val="00E81CAA"/>
    <w:rsid w:val="00EA25C9"/>
    <w:rsid w:val="00EA4EBF"/>
    <w:rsid w:val="00EB2D5F"/>
    <w:rsid w:val="00EB59A1"/>
    <w:rsid w:val="00EC26C0"/>
    <w:rsid w:val="00EC4832"/>
    <w:rsid w:val="00ED231A"/>
    <w:rsid w:val="00ED65A5"/>
    <w:rsid w:val="00ED7D15"/>
    <w:rsid w:val="00EE1D31"/>
    <w:rsid w:val="00EE5D07"/>
    <w:rsid w:val="00EE7437"/>
    <w:rsid w:val="00EF0084"/>
    <w:rsid w:val="00EF1BFE"/>
    <w:rsid w:val="00EF2CB9"/>
    <w:rsid w:val="00EF3885"/>
    <w:rsid w:val="00EF7550"/>
    <w:rsid w:val="00F01E3E"/>
    <w:rsid w:val="00F10A8B"/>
    <w:rsid w:val="00F171B2"/>
    <w:rsid w:val="00F20E91"/>
    <w:rsid w:val="00F22BDA"/>
    <w:rsid w:val="00F33835"/>
    <w:rsid w:val="00F35B82"/>
    <w:rsid w:val="00F3697E"/>
    <w:rsid w:val="00F428D2"/>
    <w:rsid w:val="00F4387A"/>
    <w:rsid w:val="00F52255"/>
    <w:rsid w:val="00F602B4"/>
    <w:rsid w:val="00F67FDA"/>
    <w:rsid w:val="00F73CE8"/>
    <w:rsid w:val="00F76EB0"/>
    <w:rsid w:val="00F80408"/>
    <w:rsid w:val="00F91052"/>
    <w:rsid w:val="00F964C8"/>
    <w:rsid w:val="00FB0CD4"/>
    <w:rsid w:val="00FB1CFE"/>
    <w:rsid w:val="00FB1F8F"/>
    <w:rsid w:val="00FC2201"/>
    <w:rsid w:val="00FC2816"/>
    <w:rsid w:val="00FC733A"/>
    <w:rsid w:val="00FD26C4"/>
    <w:rsid w:val="00FD5FE1"/>
    <w:rsid w:val="00FD77A4"/>
    <w:rsid w:val="00FE3588"/>
    <w:rsid w:val="00FE3A56"/>
    <w:rsid w:val="00FF303B"/>
    <w:rsid w:val="00FF5047"/>
    <w:rsid w:val="00FF727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E05FA946-B465-4888-9330-8C943CA1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65A5"/>
    <w:pPr>
      <w:tabs>
        <w:tab w:val="center" w:pos="4819"/>
        <w:tab w:val="right" w:pos="9638"/>
      </w:tabs>
      <w:spacing w:after="0" w:line="240" w:lineRule="auto"/>
    </w:pPr>
  </w:style>
  <w:style w:type="character" w:customStyle="1" w:styleId="HeaderChar">
    <w:name w:val="Header Char"/>
    <w:basedOn w:val="DefaultParagraphFont"/>
    <w:link w:val="Header"/>
    <w:uiPriority w:val="99"/>
    <w:rsid w:val="00ED65A5"/>
  </w:style>
  <w:style w:type="paragraph" w:styleId="Footer">
    <w:name w:val="footer"/>
    <w:basedOn w:val="Normal"/>
    <w:link w:val="FooterChar"/>
    <w:uiPriority w:val="99"/>
    <w:unhideWhenUsed/>
    <w:rsid w:val="00ED65A5"/>
    <w:pPr>
      <w:tabs>
        <w:tab w:val="center" w:pos="4819"/>
        <w:tab w:val="right" w:pos="9638"/>
      </w:tabs>
      <w:spacing w:after="0" w:line="240" w:lineRule="auto"/>
    </w:pPr>
  </w:style>
  <w:style w:type="character" w:customStyle="1" w:styleId="FooterChar">
    <w:name w:val="Footer Char"/>
    <w:basedOn w:val="DefaultParagraphFont"/>
    <w:link w:val="Footer"/>
    <w:uiPriority w:val="99"/>
    <w:rsid w:val="00ED65A5"/>
  </w:style>
  <w:style w:type="paragraph" w:styleId="BalloonText">
    <w:name w:val="Balloon Text"/>
    <w:basedOn w:val="Normal"/>
    <w:link w:val="BalloonTextChar"/>
    <w:uiPriority w:val="99"/>
    <w:semiHidden/>
    <w:unhideWhenUsed/>
    <w:rsid w:val="00ED65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5A5"/>
    <w:rPr>
      <w:rFonts w:ascii="Segoe UI" w:hAnsi="Segoe UI" w:cs="Segoe UI"/>
      <w:sz w:val="18"/>
      <w:szCs w:val="18"/>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ED65A5"/>
    <w:pPr>
      <w:ind w:left="720"/>
      <w:contextualSpacing/>
    </w:p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link w:val="ListParagraph"/>
    <w:uiPriority w:val="34"/>
    <w:qFormat/>
    <w:locked/>
    <w:rsid w:val="00ED65A5"/>
  </w:style>
  <w:style w:type="character" w:styleId="CommentReference">
    <w:name w:val="annotation reference"/>
    <w:basedOn w:val="DefaultParagraphFont"/>
    <w:uiPriority w:val="99"/>
    <w:semiHidden/>
    <w:unhideWhenUsed/>
    <w:rsid w:val="00ED65A5"/>
    <w:rPr>
      <w:sz w:val="16"/>
      <w:szCs w:val="16"/>
    </w:rPr>
  </w:style>
  <w:style w:type="paragraph" w:styleId="CommentText">
    <w:name w:val="annotation text"/>
    <w:basedOn w:val="Normal"/>
    <w:link w:val="CommentTextChar"/>
    <w:uiPriority w:val="99"/>
    <w:semiHidden/>
    <w:unhideWhenUsed/>
    <w:rsid w:val="00ED65A5"/>
    <w:pPr>
      <w:spacing w:line="240" w:lineRule="auto"/>
    </w:pPr>
    <w:rPr>
      <w:sz w:val="20"/>
      <w:szCs w:val="20"/>
    </w:rPr>
  </w:style>
  <w:style w:type="character" w:customStyle="1" w:styleId="CommentTextChar">
    <w:name w:val="Comment Text Char"/>
    <w:basedOn w:val="DefaultParagraphFont"/>
    <w:link w:val="CommentText"/>
    <w:uiPriority w:val="99"/>
    <w:semiHidden/>
    <w:rsid w:val="00ED65A5"/>
    <w:rPr>
      <w:sz w:val="20"/>
      <w:szCs w:val="20"/>
    </w:rPr>
  </w:style>
  <w:style w:type="paragraph" w:styleId="CommentSubject">
    <w:name w:val="annotation subject"/>
    <w:basedOn w:val="CommentText"/>
    <w:next w:val="CommentText"/>
    <w:link w:val="CommentSubjectChar"/>
    <w:uiPriority w:val="99"/>
    <w:semiHidden/>
    <w:unhideWhenUsed/>
    <w:rsid w:val="00ED65A5"/>
    <w:rPr>
      <w:b/>
      <w:bCs/>
    </w:rPr>
  </w:style>
  <w:style w:type="character" w:customStyle="1" w:styleId="CommentSubjectChar">
    <w:name w:val="Comment Subject Char"/>
    <w:basedOn w:val="CommentTextChar"/>
    <w:link w:val="CommentSubject"/>
    <w:uiPriority w:val="99"/>
    <w:semiHidden/>
    <w:rsid w:val="00ED65A5"/>
    <w:rPr>
      <w:b/>
      <w:bCs/>
      <w:sz w:val="20"/>
      <w:szCs w:val="20"/>
    </w:rPr>
  </w:style>
  <w:style w:type="paragraph" w:styleId="Revision">
    <w:name w:val="Revision"/>
    <w:hidden/>
    <w:uiPriority w:val="99"/>
    <w:semiHidden/>
    <w:rsid w:val="00ED65A5"/>
    <w:pPr>
      <w:spacing w:after="0" w:line="240" w:lineRule="auto"/>
    </w:pPr>
  </w:style>
  <w:style w:type="paragraph" w:styleId="BodyText2">
    <w:name w:val="Body Text 2"/>
    <w:basedOn w:val="Normal"/>
    <w:link w:val="BodyText2Char"/>
    <w:uiPriority w:val="99"/>
    <w:rsid w:val="00ED65A5"/>
    <w:pPr>
      <w:spacing w:after="0" w:line="240" w:lineRule="auto"/>
    </w:pPr>
    <w:rPr>
      <w:rFonts w:ascii="Tahoma" w:eastAsia="Times New Roman" w:hAnsi="Tahoma" w:cs="Tahoma"/>
      <w:sz w:val="20"/>
      <w:szCs w:val="24"/>
      <w:lang w:eastAsia="it-IT"/>
    </w:rPr>
  </w:style>
  <w:style w:type="character" w:customStyle="1" w:styleId="BodyText2Char">
    <w:name w:val="Body Text 2 Char"/>
    <w:basedOn w:val="DefaultParagraphFont"/>
    <w:link w:val="BodyText2"/>
    <w:uiPriority w:val="99"/>
    <w:rsid w:val="00ED65A5"/>
    <w:rPr>
      <w:rFonts w:ascii="Tahoma" w:eastAsia="Times New Roman" w:hAnsi="Tahoma" w:cs="Tahoma"/>
      <w:sz w:val="20"/>
      <w:szCs w:val="24"/>
      <w:lang w:eastAsia="it-IT"/>
    </w:rPr>
  </w:style>
  <w:style w:type="table" w:styleId="TableGrid">
    <w:name w:val="Table Grid"/>
    <w:basedOn w:val="TableNormal"/>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D65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65A5"/>
    <w:rPr>
      <w:sz w:val="20"/>
      <w:szCs w:val="20"/>
    </w:rPr>
  </w:style>
  <w:style w:type="character" w:styleId="FootnoteReference">
    <w:name w:val="footnote reference"/>
    <w:basedOn w:val="DefaultParagraphFont"/>
    <w:uiPriority w:val="99"/>
    <w:semiHidden/>
    <w:unhideWhenUsed/>
    <w:rsid w:val="00ED65A5"/>
    <w:rPr>
      <w:vertAlign w:val="superscript"/>
    </w:rPr>
  </w:style>
  <w:style w:type="paragraph" w:customStyle="1" w:styleId="Paragrafoelenco1">
    <w:name w:val="Paragrafo elenco1"/>
    <w:basedOn w:val="Normal"/>
    <w:qFormat/>
    <w:rsid w:val="00ED65A5"/>
    <w:pPr>
      <w:spacing w:after="0" w:line="240" w:lineRule="auto"/>
      <w:ind w:left="720"/>
    </w:pPr>
    <w:rPr>
      <w:rFonts w:ascii="Times New Roman" w:eastAsia="Times New Roman" w:hAnsi="Times New Roman" w:cs="Times New Roman"/>
      <w:sz w:val="24"/>
      <w:szCs w:val="24"/>
    </w:rPr>
  </w:style>
  <w:style w:type="paragraph" w:styleId="NormalWeb">
    <w:name w:val="Normal (Web)"/>
    <w:basedOn w:val="Normal"/>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DefaultParagraphFont"/>
    <w:rsid w:val="00ED65A5"/>
  </w:style>
  <w:style w:type="character" w:styleId="Hyperlink">
    <w:name w:val="Hyperlink"/>
    <w:basedOn w:val="DefaultParagraphFont"/>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44788">
      <w:bodyDiv w:val="1"/>
      <w:marLeft w:val="0"/>
      <w:marRight w:val="0"/>
      <w:marTop w:val="0"/>
      <w:marBottom w:val="0"/>
      <w:divBdr>
        <w:top w:val="none" w:sz="0" w:space="0" w:color="auto"/>
        <w:left w:val="none" w:sz="0" w:space="0" w:color="auto"/>
        <w:bottom w:val="none" w:sz="0" w:space="0" w:color="auto"/>
        <w:right w:val="none" w:sz="0" w:space="0" w:color="auto"/>
      </w:divBdr>
    </w:div>
    <w:div w:id="107893183">
      <w:bodyDiv w:val="1"/>
      <w:marLeft w:val="0"/>
      <w:marRight w:val="0"/>
      <w:marTop w:val="0"/>
      <w:marBottom w:val="0"/>
      <w:divBdr>
        <w:top w:val="none" w:sz="0" w:space="0" w:color="auto"/>
        <w:left w:val="none" w:sz="0" w:space="0" w:color="auto"/>
        <w:bottom w:val="none" w:sz="0" w:space="0" w:color="auto"/>
        <w:right w:val="none" w:sz="0" w:space="0" w:color="auto"/>
      </w:divBdr>
    </w:div>
    <w:div w:id="395906015">
      <w:bodyDiv w:val="1"/>
      <w:marLeft w:val="0"/>
      <w:marRight w:val="0"/>
      <w:marTop w:val="0"/>
      <w:marBottom w:val="0"/>
      <w:divBdr>
        <w:top w:val="none" w:sz="0" w:space="0" w:color="auto"/>
        <w:left w:val="none" w:sz="0" w:space="0" w:color="auto"/>
        <w:bottom w:val="none" w:sz="0" w:space="0" w:color="auto"/>
        <w:right w:val="none" w:sz="0" w:space="0" w:color="auto"/>
      </w:divBdr>
    </w:div>
    <w:div w:id="545261735">
      <w:bodyDiv w:val="1"/>
      <w:marLeft w:val="0"/>
      <w:marRight w:val="0"/>
      <w:marTop w:val="0"/>
      <w:marBottom w:val="0"/>
      <w:divBdr>
        <w:top w:val="none" w:sz="0" w:space="0" w:color="auto"/>
        <w:left w:val="none" w:sz="0" w:space="0" w:color="auto"/>
        <w:bottom w:val="none" w:sz="0" w:space="0" w:color="auto"/>
        <w:right w:val="none" w:sz="0" w:space="0" w:color="auto"/>
      </w:divBdr>
    </w:div>
    <w:div w:id="561988490">
      <w:bodyDiv w:val="1"/>
      <w:marLeft w:val="0"/>
      <w:marRight w:val="0"/>
      <w:marTop w:val="0"/>
      <w:marBottom w:val="0"/>
      <w:divBdr>
        <w:top w:val="none" w:sz="0" w:space="0" w:color="auto"/>
        <w:left w:val="none" w:sz="0" w:space="0" w:color="auto"/>
        <w:bottom w:val="none" w:sz="0" w:space="0" w:color="auto"/>
        <w:right w:val="none" w:sz="0" w:space="0" w:color="auto"/>
      </w:divBdr>
      <w:divsChild>
        <w:div w:id="801770307">
          <w:marLeft w:val="0"/>
          <w:marRight w:val="0"/>
          <w:marTop w:val="0"/>
          <w:marBottom w:val="0"/>
          <w:divBdr>
            <w:top w:val="none" w:sz="0" w:space="0" w:color="auto"/>
            <w:left w:val="none" w:sz="0" w:space="0" w:color="auto"/>
            <w:bottom w:val="none" w:sz="0" w:space="0" w:color="auto"/>
            <w:right w:val="none" w:sz="0" w:space="0" w:color="auto"/>
          </w:divBdr>
        </w:div>
      </w:divsChild>
    </w:div>
    <w:div w:id="896086032">
      <w:bodyDiv w:val="1"/>
      <w:marLeft w:val="0"/>
      <w:marRight w:val="0"/>
      <w:marTop w:val="0"/>
      <w:marBottom w:val="0"/>
      <w:divBdr>
        <w:top w:val="none" w:sz="0" w:space="0" w:color="auto"/>
        <w:left w:val="none" w:sz="0" w:space="0" w:color="auto"/>
        <w:bottom w:val="none" w:sz="0" w:space="0" w:color="auto"/>
        <w:right w:val="none" w:sz="0" w:space="0" w:color="auto"/>
      </w:divBdr>
    </w:div>
    <w:div w:id="1105542140">
      <w:bodyDiv w:val="1"/>
      <w:marLeft w:val="0"/>
      <w:marRight w:val="0"/>
      <w:marTop w:val="0"/>
      <w:marBottom w:val="0"/>
      <w:divBdr>
        <w:top w:val="none" w:sz="0" w:space="0" w:color="auto"/>
        <w:left w:val="none" w:sz="0" w:space="0" w:color="auto"/>
        <w:bottom w:val="none" w:sz="0" w:space="0" w:color="auto"/>
        <w:right w:val="none" w:sz="0" w:space="0" w:color="auto"/>
      </w:divBdr>
      <w:divsChild>
        <w:div w:id="1272929862">
          <w:marLeft w:val="0"/>
          <w:marRight w:val="0"/>
          <w:marTop w:val="0"/>
          <w:marBottom w:val="0"/>
          <w:divBdr>
            <w:top w:val="none" w:sz="0" w:space="0" w:color="auto"/>
            <w:left w:val="none" w:sz="0" w:space="0" w:color="auto"/>
            <w:bottom w:val="none" w:sz="0" w:space="0" w:color="auto"/>
            <w:right w:val="none" w:sz="0" w:space="0" w:color="auto"/>
          </w:divBdr>
        </w:div>
      </w:divsChild>
    </w:div>
    <w:div w:id="1226641557">
      <w:bodyDiv w:val="1"/>
      <w:marLeft w:val="0"/>
      <w:marRight w:val="0"/>
      <w:marTop w:val="0"/>
      <w:marBottom w:val="0"/>
      <w:divBdr>
        <w:top w:val="none" w:sz="0" w:space="0" w:color="auto"/>
        <w:left w:val="none" w:sz="0" w:space="0" w:color="auto"/>
        <w:bottom w:val="none" w:sz="0" w:space="0" w:color="auto"/>
        <w:right w:val="none" w:sz="0" w:space="0" w:color="auto"/>
      </w:divBdr>
    </w:div>
    <w:div w:id="1498231632">
      <w:bodyDiv w:val="1"/>
      <w:marLeft w:val="0"/>
      <w:marRight w:val="0"/>
      <w:marTop w:val="0"/>
      <w:marBottom w:val="0"/>
      <w:divBdr>
        <w:top w:val="none" w:sz="0" w:space="0" w:color="auto"/>
        <w:left w:val="none" w:sz="0" w:space="0" w:color="auto"/>
        <w:bottom w:val="none" w:sz="0" w:space="0" w:color="auto"/>
        <w:right w:val="none" w:sz="0" w:space="0" w:color="auto"/>
      </w:divBdr>
    </w:div>
    <w:div w:id="1663269349">
      <w:bodyDiv w:val="1"/>
      <w:marLeft w:val="0"/>
      <w:marRight w:val="0"/>
      <w:marTop w:val="0"/>
      <w:marBottom w:val="0"/>
      <w:divBdr>
        <w:top w:val="none" w:sz="0" w:space="0" w:color="auto"/>
        <w:left w:val="none" w:sz="0" w:space="0" w:color="auto"/>
        <w:bottom w:val="none" w:sz="0" w:space="0" w:color="auto"/>
        <w:right w:val="none" w:sz="0" w:space="0" w:color="auto"/>
      </w:divBdr>
    </w:div>
    <w:div w:id="2061513416">
      <w:bodyDiv w:val="1"/>
      <w:marLeft w:val="0"/>
      <w:marRight w:val="0"/>
      <w:marTop w:val="0"/>
      <w:marBottom w:val="0"/>
      <w:divBdr>
        <w:top w:val="none" w:sz="0" w:space="0" w:color="auto"/>
        <w:left w:val="none" w:sz="0" w:space="0" w:color="auto"/>
        <w:bottom w:val="none" w:sz="0" w:space="0" w:color="auto"/>
        <w:right w:val="none" w:sz="0" w:space="0" w:color="auto"/>
      </w:divBdr>
    </w:div>
    <w:div w:id="2083864833">
      <w:bodyDiv w:val="1"/>
      <w:marLeft w:val="0"/>
      <w:marRight w:val="0"/>
      <w:marTop w:val="0"/>
      <w:marBottom w:val="0"/>
      <w:divBdr>
        <w:top w:val="none" w:sz="0" w:space="0" w:color="auto"/>
        <w:left w:val="none" w:sz="0" w:space="0" w:color="auto"/>
        <w:bottom w:val="none" w:sz="0" w:space="0" w:color="auto"/>
        <w:right w:val="none" w:sz="0" w:space="0" w:color="auto"/>
      </w:divBdr>
    </w:div>
    <w:div w:id="2111392420">
      <w:bodyDiv w:val="1"/>
      <w:marLeft w:val="0"/>
      <w:marRight w:val="0"/>
      <w:marTop w:val="0"/>
      <w:marBottom w:val="0"/>
      <w:divBdr>
        <w:top w:val="none" w:sz="0" w:space="0" w:color="auto"/>
        <w:left w:val="none" w:sz="0" w:space="0" w:color="auto"/>
        <w:bottom w:val="none" w:sz="0" w:space="0" w:color="auto"/>
        <w:right w:val="none" w:sz="0" w:space="0" w:color="auto"/>
      </w:divBdr>
    </w:div>
    <w:div w:id="211651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36</Pages>
  <Words>5463</Words>
  <Characters>31143</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Gizzi, Maria Elena</dc:creator>
  <cp:keywords/>
  <dc:description/>
  <cp:lastModifiedBy>Gizzi, Maria Elena</cp:lastModifiedBy>
  <cp:revision>9</cp:revision>
  <dcterms:created xsi:type="dcterms:W3CDTF">2025-03-24T11:01:00Z</dcterms:created>
  <dcterms:modified xsi:type="dcterms:W3CDTF">2025-03-31T09:28:00Z</dcterms:modified>
</cp:coreProperties>
</file>